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5495"/>
        <w:gridCol w:w="4469"/>
      </w:tblGrid>
      <w:tr w:rsidR="0060226D">
        <w:tblPrEx>
          <w:tblCellMar>
            <w:top w:w="0" w:type="dxa"/>
            <w:bottom w:w="0" w:type="dxa"/>
          </w:tblCellMar>
        </w:tblPrEx>
        <w:trPr>
          <w:trHeight w:hRule="exact" w:val="1134"/>
        </w:trPr>
        <w:tc>
          <w:tcPr>
            <w:tcW w:w="5495" w:type="dxa"/>
          </w:tcPr>
          <w:p w:rsidR="0060226D" w:rsidRDefault="0060226D">
            <w:pPr>
              <w:pStyle w:val="T15TextBody"/>
            </w:pPr>
            <w:r>
              <w:rPr>
                <w:noProof/>
                <w:sz w:val="20"/>
                <w:lang w:val="en-US"/>
              </w:rPr>
              <w:pict>
                <v:shapetype id="_x0000_t202" coordsize="21600,21600" o:spt="202" path="m,l,21600r21600,l21600,xe">
                  <v:stroke joinstyle="miter"/>
                  <v:path gradientshapeok="t" o:connecttype="rect"/>
                </v:shapetype>
                <v:shape id="shpFooter_blue" o:spid="_x0000_s2051" type="#_x0000_t202" style="position:absolute;margin-left:-6pt;margin-top:677pt;width:510.7pt;height:62.5pt;z-index:-251658240;visibility:visible;mso-position-vertical-relative:page" filled="f" stroked="f">
                  <v:textbox style="mso-next-textbox:#shpFooter_blue">
                    <w:txbxContent>
                      <w:p w:rsidR="0003693D" w:rsidRDefault="0003693D">
                        <w:pPr>
                          <w:rPr>
                            <w:noProof/>
                            <w:color w:val="333399"/>
                            <w:sz w:val="16"/>
                            <w:lang w:val="en-GB"/>
                          </w:rPr>
                        </w:pPr>
                        <w:r>
                          <w:rPr>
                            <w:noProof/>
                            <w:color w:val="333399"/>
                            <w:sz w:val="16"/>
                            <w:lang w:val="en-GB"/>
                          </w:rPr>
                          <w:t>Congress House, Great Russell Street, London WC1B 3LS</w:t>
                        </w:r>
                      </w:p>
                      <w:p w:rsidR="0003693D" w:rsidRDefault="0003693D">
                        <w:pPr>
                          <w:pStyle w:val="FootnoteText"/>
                          <w:widowControl w:val="0"/>
                          <w:rPr>
                            <w:noProof/>
                            <w:snapToGrid w:val="0"/>
                            <w:color w:val="333399"/>
                            <w:sz w:val="16"/>
                          </w:rPr>
                        </w:pPr>
                        <w:r>
                          <w:rPr>
                            <w:noProof/>
                            <w:snapToGrid w:val="0"/>
                            <w:color w:val="333399"/>
                            <w:sz w:val="16"/>
                          </w:rPr>
                          <w:t xml:space="preserve">telephone: 020 7636 4030  fax: 020 7636 0632  </w:t>
                        </w:r>
                        <w:hyperlink r:id="rId8" w:tooltip="Link to: TUC homepage" w:history="1">
                          <w:r>
                            <w:rPr>
                              <w:rStyle w:val="Hyperlink"/>
                              <w:snapToGrid w:val="0"/>
                              <w:sz w:val="16"/>
                              <w:lang w:val="en-US"/>
                            </w:rPr>
                            <w:t>www.tuc.</w:t>
                          </w:r>
                          <w:r>
                            <w:rPr>
                              <w:rStyle w:val="Hyperlink"/>
                              <w:snapToGrid w:val="0"/>
                              <w:sz w:val="16"/>
                              <w:lang w:val="en-US"/>
                            </w:rPr>
                            <w:t>o</w:t>
                          </w:r>
                          <w:r>
                            <w:rPr>
                              <w:rStyle w:val="Hyperlink"/>
                              <w:snapToGrid w:val="0"/>
                              <w:sz w:val="16"/>
                              <w:lang w:val="en-US"/>
                            </w:rPr>
                            <w:t>rg.uk</w:t>
                          </w:r>
                        </w:hyperlink>
                      </w:p>
                      <w:p w:rsidR="0003693D" w:rsidRDefault="0003693D" w:rsidP="00081C7D">
                        <w:pPr>
                          <w:pStyle w:val="FootnoteText"/>
                          <w:widowControl w:val="0"/>
                          <w:rPr>
                            <w:noProof/>
                            <w:snapToGrid w:val="0"/>
                            <w:color w:val="333399"/>
                            <w:sz w:val="16"/>
                          </w:rPr>
                        </w:pPr>
                      </w:p>
                      <w:p w:rsidR="0003693D" w:rsidRDefault="0003693D" w:rsidP="00081C7D">
                        <w:pPr>
                          <w:pStyle w:val="FootnoteText"/>
                          <w:widowControl w:val="0"/>
                          <w:rPr>
                            <w:i/>
                            <w:iCs/>
                            <w:noProof/>
                            <w:color w:val="333399"/>
                            <w:sz w:val="16"/>
                          </w:rPr>
                        </w:pPr>
                        <w:r>
                          <w:rPr>
                            <w:noProof/>
                            <w:snapToGrid w:val="0"/>
                            <w:color w:val="333399"/>
                            <w:sz w:val="16"/>
                          </w:rPr>
                          <w:t xml:space="preserve">General Secretary: </w:t>
                        </w:r>
                        <w:r>
                          <w:rPr>
                            <w:i/>
                            <w:iCs/>
                            <w:noProof/>
                            <w:snapToGrid w:val="0"/>
                            <w:color w:val="333399"/>
                            <w:sz w:val="16"/>
                          </w:rPr>
                          <w:t>Frances O’Grady</w:t>
                        </w:r>
                        <w:r>
                          <w:rPr>
                            <w:noProof/>
                            <w:snapToGrid w:val="0"/>
                            <w:color w:val="333399"/>
                            <w:sz w:val="16"/>
                          </w:rPr>
                          <w:t xml:space="preserve">  </w:t>
                        </w:r>
                        <w:r>
                          <w:rPr>
                            <w:noProof/>
                            <w:color w:val="333399"/>
                            <w:sz w:val="16"/>
                          </w:rPr>
                          <w:t xml:space="preserve">Assistant General Secretary: </w:t>
                        </w:r>
                        <w:r>
                          <w:rPr>
                            <w:i/>
                            <w:iCs/>
                            <w:noProof/>
                            <w:color w:val="333399"/>
                            <w:sz w:val="16"/>
                          </w:rPr>
                          <w:t>Kay Carberry</w:t>
                        </w:r>
                        <w:r w:rsidR="0044662F">
                          <w:rPr>
                            <w:i/>
                            <w:iCs/>
                            <w:noProof/>
                            <w:color w:val="333399"/>
                            <w:sz w:val="16"/>
                          </w:rPr>
                          <w:t xml:space="preserve"> CBE</w:t>
                        </w:r>
                      </w:p>
                      <w:p w:rsidR="00F7575C" w:rsidRPr="00081C7D" w:rsidRDefault="00F7575C" w:rsidP="00081C7D">
                        <w:pPr>
                          <w:pStyle w:val="FootnoteText"/>
                          <w:widowControl w:val="0"/>
                          <w:rPr>
                            <w:noProof/>
                            <w:snapToGrid w:val="0"/>
                            <w:color w:val="333399"/>
                            <w:sz w:val="16"/>
                          </w:rPr>
                        </w:pPr>
                        <w:r>
                          <w:rPr>
                            <w:noProof/>
                            <w:color w:val="333399"/>
                            <w:sz w:val="16"/>
                          </w:rPr>
                          <w:t xml:space="preserve">Assistant General Secretary: </w:t>
                        </w:r>
                        <w:r>
                          <w:rPr>
                            <w:i/>
                            <w:iCs/>
                            <w:noProof/>
                            <w:color w:val="333399"/>
                            <w:sz w:val="16"/>
                          </w:rPr>
                          <w:t>Paul Nowak</w:t>
                        </w:r>
                      </w:p>
                    </w:txbxContent>
                  </v:textbox>
                  <w10:wrap anchory="page"/>
                  <w10:anchorlock/>
                </v:shape>
              </w:pict>
            </w:r>
            <w:r w:rsidR="007E54E4">
              <w:rPr>
                <w:noProof/>
                <w:sz w:val="20"/>
                <w:lang w:eastAsia="en-GB"/>
              </w:rPr>
              <w:drawing>
                <wp:anchor distT="0" distB="0" distL="114300" distR="114300" simplePos="0" relativeHeight="251657216" behindDoc="0" locked="1" layoutInCell="1" allowOverlap="1">
                  <wp:simplePos x="0" y="0"/>
                  <wp:positionH relativeFrom="page">
                    <wp:posOffset>3827780</wp:posOffset>
                  </wp:positionH>
                  <wp:positionV relativeFrom="page">
                    <wp:posOffset>-612775</wp:posOffset>
                  </wp:positionV>
                  <wp:extent cx="2012315" cy="1157605"/>
                  <wp:effectExtent l="19050" t="0" r="6985" b="0"/>
                  <wp:wrapNone/>
                  <wp:docPr id="3" name="shpLogo_red">
                    <a:hlinkClick xmlns:a="http://schemas.openxmlformats.org/drawingml/2006/main" r:id="rId8"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Logo_red">
                            <a:hlinkClick r:id="rId8" tooltip="Link to: TUC homepage"/>
                          </pic:cNvPr>
                          <pic:cNvPicPr>
                            <a:picLocks noChangeAspect="1" noChangeArrowheads="1"/>
                          </pic:cNvPicPr>
                        </pic:nvPicPr>
                        <pic:blipFill>
                          <a:blip r:embed="rId9" cstate="print"/>
                          <a:srcRect/>
                          <a:stretch>
                            <a:fillRect/>
                          </a:stretch>
                        </pic:blipFill>
                        <pic:spPr bwMode="auto">
                          <a:xfrm>
                            <a:off x="0" y="0"/>
                            <a:ext cx="2012315" cy="1157605"/>
                          </a:xfrm>
                          <a:prstGeom prst="rect">
                            <a:avLst/>
                          </a:prstGeom>
                          <a:noFill/>
                          <a:ln w="9525">
                            <a:noFill/>
                            <a:miter lim="800000"/>
                            <a:headEnd/>
                            <a:tailEnd/>
                          </a:ln>
                        </pic:spPr>
                      </pic:pic>
                    </a:graphicData>
                  </a:graphic>
                </wp:anchor>
              </w:drawing>
            </w:r>
          </w:p>
        </w:tc>
        <w:tc>
          <w:tcPr>
            <w:tcW w:w="4469" w:type="dxa"/>
          </w:tcPr>
          <w:p w:rsidR="0060226D" w:rsidRDefault="0060226D">
            <w:pPr>
              <w:pStyle w:val="T15ContactsDescriptors"/>
              <w:rPr>
                <w:vanish/>
              </w:rPr>
            </w:pPr>
          </w:p>
        </w:tc>
      </w:tr>
      <w:tr w:rsidR="0060226D">
        <w:tblPrEx>
          <w:tblCellMar>
            <w:top w:w="0" w:type="dxa"/>
            <w:bottom w:w="0" w:type="dxa"/>
          </w:tblCellMar>
        </w:tblPrEx>
        <w:trPr>
          <w:trHeight w:val="3395"/>
        </w:trPr>
        <w:tc>
          <w:tcPr>
            <w:tcW w:w="5495" w:type="dxa"/>
          </w:tcPr>
          <w:p w:rsidR="00352A2A" w:rsidRPr="00352A2A" w:rsidRDefault="00352A2A" w:rsidP="00352A2A">
            <w:pPr>
              <w:pStyle w:val="T15TextBody"/>
            </w:pPr>
            <w:bookmarkStart w:id="0" w:name="bmAddressee"/>
            <w:r w:rsidRPr="00352A2A">
              <w:t xml:space="preserve">Ms Cecilia </w:t>
            </w:r>
            <w:proofErr w:type="spellStart"/>
            <w:r w:rsidRPr="00352A2A">
              <w:t>Malmstr</w:t>
            </w:r>
            <w:bookmarkStart w:id="1" w:name="bmAddress"/>
            <w:bookmarkEnd w:id="0"/>
            <w:bookmarkEnd w:id="1"/>
            <w:r w:rsidRPr="00352A2A">
              <w:t>öm</w:t>
            </w:r>
            <w:proofErr w:type="spellEnd"/>
            <w:r w:rsidRPr="00352A2A">
              <w:t xml:space="preserve"> </w:t>
            </w:r>
          </w:p>
          <w:p w:rsidR="00352A2A" w:rsidRPr="00352A2A" w:rsidRDefault="00352A2A" w:rsidP="00352A2A">
            <w:pPr>
              <w:pStyle w:val="T15TextBody"/>
            </w:pPr>
            <w:r w:rsidRPr="00352A2A">
              <w:t xml:space="preserve">Commissioner for Trade </w:t>
            </w:r>
          </w:p>
          <w:p w:rsidR="00352A2A" w:rsidRPr="00352A2A" w:rsidRDefault="00352A2A" w:rsidP="00352A2A">
            <w:pPr>
              <w:pStyle w:val="T15TextBody"/>
            </w:pPr>
            <w:r w:rsidRPr="00352A2A">
              <w:t xml:space="preserve">European Commission </w:t>
            </w:r>
          </w:p>
          <w:p w:rsidR="00352A2A" w:rsidRPr="00352A2A" w:rsidRDefault="00352A2A" w:rsidP="00352A2A">
            <w:pPr>
              <w:pStyle w:val="T15TextBody"/>
            </w:pPr>
            <w:r w:rsidRPr="00352A2A">
              <w:t xml:space="preserve">1049 Brussels </w:t>
            </w:r>
          </w:p>
          <w:p w:rsidR="00352A2A" w:rsidRPr="00352A2A" w:rsidRDefault="00352A2A" w:rsidP="00352A2A">
            <w:pPr>
              <w:pStyle w:val="T15TextBody"/>
            </w:pPr>
          </w:p>
          <w:p w:rsidR="00352A2A" w:rsidRPr="00352A2A" w:rsidRDefault="00352A2A" w:rsidP="00352A2A">
            <w:pPr>
              <w:pStyle w:val="T15TextBody"/>
            </w:pPr>
            <w:r w:rsidRPr="00352A2A">
              <w:t xml:space="preserve">[Letter sent by e-mail] </w:t>
            </w:r>
          </w:p>
          <w:p w:rsidR="0060226D" w:rsidRDefault="0060226D">
            <w:pPr>
              <w:pStyle w:val="T15TextBody"/>
            </w:pPr>
          </w:p>
        </w:tc>
        <w:tc>
          <w:tcPr>
            <w:tcW w:w="4469" w:type="dxa"/>
          </w:tcPr>
          <w:p w:rsidR="0060226D" w:rsidRPr="00352A2A" w:rsidRDefault="0060226D">
            <w:pPr>
              <w:pStyle w:val="T15ContactsDescriptors"/>
              <w:rPr>
                <w:sz w:val="24"/>
              </w:rPr>
            </w:pPr>
            <w:bookmarkStart w:id="2" w:name="bmOurRefLine"/>
            <w:r w:rsidRPr="00352A2A">
              <w:t xml:space="preserve">our ref </w:t>
            </w:r>
            <w:r w:rsidRPr="00352A2A">
              <w:tab/>
            </w:r>
            <w:bookmarkStart w:id="3" w:name="bmOurRef"/>
            <w:r w:rsidR="00352A2A" w:rsidRPr="00352A2A">
              <w:rPr>
                <w:rStyle w:val="T15Contacts"/>
              </w:rPr>
              <w:t>Trade/FOG/OT</w:t>
            </w:r>
            <w:bookmarkEnd w:id="3"/>
          </w:p>
          <w:bookmarkEnd w:id="2"/>
          <w:p w:rsidR="0060226D" w:rsidRDefault="0060226D">
            <w:pPr>
              <w:pStyle w:val="T15ContactsDescriptors"/>
              <w:rPr>
                <w:sz w:val="24"/>
              </w:rPr>
            </w:pPr>
            <w:r>
              <w:t xml:space="preserve">date: </w:t>
            </w:r>
            <w:r>
              <w:tab/>
            </w:r>
            <w:bookmarkStart w:id="4" w:name="bmDate"/>
            <w:r w:rsidR="00352A2A">
              <w:rPr>
                <w:rStyle w:val="T15Contacts"/>
              </w:rPr>
              <w:t>29</w:t>
            </w:r>
            <w:r w:rsidR="00352A2A" w:rsidRPr="00352A2A">
              <w:rPr>
                <w:rStyle w:val="T15Contacts"/>
              </w:rPr>
              <w:t xml:space="preserve"> August 2015</w:t>
            </w:r>
            <w:bookmarkEnd w:id="4"/>
          </w:p>
          <w:p w:rsidR="0060226D" w:rsidRDefault="0060226D">
            <w:pPr>
              <w:pStyle w:val="T15ContactsDescriptors"/>
              <w:rPr>
                <w:sz w:val="24"/>
              </w:rPr>
            </w:pPr>
            <w:r>
              <w:t xml:space="preserve">contact: </w:t>
            </w:r>
            <w:r>
              <w:tab/>
            </w:r>
            <w:bookmarkStart w:id="5" w:name="bmGlobName"/>
            <w:r w:rsidR="00352A2A">
              <w:rPr>
                <w:rStyle w:val="T15Contacts"/>
              </w:rPr>
              <w:t>Owen Tudor</w:t>
            </w:r>
            <w:bookmarkEnd w:id="5"/>
          </w:p>
          <w:p w:rsidR="0060226D" w:rsidRDefault="0060226D">
            <w:pPr>
              <w:pStyle w:val="T15ContactsDescriptors"/>
              <w:rPr>
                <w:sz w:val="24"/>
              </w:rPr>
            </w:pPr>
            <w:r>
              <w:t>direct line:</w:t>
            </w:r>
            <w:r>
              <w:tab/>
            </w:r>
            <w:bookmarkStart w:id="6" w:name="bmGlobTelephone"/>
            <w:r w:rsidR="00352A2A">
              <w:rPr>
                <w:rStyle w:val="T15Contacts"/>
              </w:rPr>
              <w:t>+44 (20) 7467 1325</w:t>
            </w:r>
            <w:bookmarkEnd w:id="6"/>
          </w:p>
          <w:p w:rsidR="0060226D" w:rsidRDefault="0060226D">
            <w:pPr>
              <w:pStyle w:val="T15ContactsDescriptors"/>
            </w:pPr>
            <w:r>
              <w:t xml:space="preserve">email: </w:t>
            </w:r>
            <w:r>
              <w:tab/>
            </w:r>
            <w:bookmarkStart w:id="7" w:name="bmGlobEmail"/>
            <w:r w:rsidR="00352A2A">
              <w:rPr>
                <w:rStyle w:val="T15Contacts"/>
              </w:rPr>
              <w:t>otudor@tuc.org.uk</w:t>
            </w:r>
            <w:bookmarkEnd w:id="7"/>
            <w:r>
              <w:t xml:space="preserve"> </w:t>
            </w:r>
          </w:p>
        </w:tc>
      </w:tr>
    </w:tbl>
    <w:p w:rsidR="0060226D" w:rsidRDefault="00352A2A">
      <w:pPr>
        <w:pStyle w:val="T15TextBody"/>
      </w:pPr>
      <w:bookmarkStart w:id="8" w:name="bmSalutation"/>
      <w:r>
        <w:t xml:space="preserve">Dear Commissioner </w:t>
      </w:r>
      <w:bookmarkEnd w:id="8"/>
      <w:proofErr w:type="spellStart"/>
      <w:r w:rsidRPr="00352A2A">
        <w:t>Malmström</w:t>
      </w:r>
      <w:proofErr w:type="spellEnd"/>
    </w:p>
    <w:p w:rsidR="00352A2A" w:rsidRDefault="00352A2A">
      <w:pPr>
        <w:pStyle w:val="T15TextBody"/>
      </w:pPr>
    </w:p>
    <w:p w:rsidR="00352A2A" w:rsidRPr="00352A2A" w:rsidRDefault="00352A2A" w:rsidP="00352A2A">
      <w:pPr>
        <w:pStyle w:val="T15SubjectHeader"/>
      </w:pPr>
      <w:r>
        <w:t>EU-Mexico Free Trade Agreement</w:t>
      </w:r>
      <w:bookmarkStart w:id="9" w:name="bmInsertionPoint"/>
      <w:bookmarkEnd w:id="9"/>
    </w:p>
    <w:p w:rsidR="00352A2A" w:rsidRDefault="00352A2A" w:rsidP="00352A2A">
      <w:pPr>
        <w:pStyle w:val="T15TextBody"/>
      </w:pPr>
      <w:r w:rsidRPr="00352A2A">
        <w:t xml:space="preserve">On behalf of the </w:t>
      </w:r>
      <w:r w:rsidR="009C2721">
        <w:t>TUC, the voice of Britain at work, and our 6 million members of affiliated trade unions</w:t>
      </w:r>
      <w:r w:rsidRPr="00352A2A">
        <w:t xml:space="preserve">, this letter </w:t>
      </w:r>
      <w:r w:rsidR="009C2721">
        <w:t xml:space="preserve">is our submission to </w:t>
      </w:r>
      <w:r w:rsidRPr="00352A2A">
        <w:t xml:space="preserve">the Commission’s consultation on the Impact Assessment that will accompany its recommendation to launch the modernisation of the EU-Mexico Free Trade Agreement. </w:t>
      </w:r>
      <w:r w:rsidR="009C2721">
        <w:t xml:space="preserve">We work closely with </w:t>
      </w:r>
      <w:r w:rsidRPr="00352A2A">
        <w:t xml:space="preserve">the European Trade Union Confederation </w:t>
      </w:r>
      <w:r w:rsidR="009C2721">
        <w:t xml:space="preserve">(ETUC) and </w:t>
      </w:r>
      <w:r w:rsidRPr="00352A2A">
        <w:t>Mexican unions</w:t>
      </w:r>
      <w:r w:rsidR="009C2721" w:rsidRPr="009C2721">
        <w:rPr>
          <w:rStyle w:val="FootnoteReference"/>
          <w:vertAlign w:val="superscript"/>
        </w:rPr>
        <w:footnoteReference w:id="1"/>
      </w:r>
      <w:r w:rsidR="009C2721">
        <w:t>, and support the ETUC’s contribution to this consultation exercise.</w:t>
      </w:r>
    </w:p>
    <w:p w:rsidR="007E54E4" w:rsidRDefault="007E54E4" w:rsidP="00352A2A">
      <w:pPr>
        <w:pStyle w:val="T15TextBody"/>
      </w:pPr>
    </w:p>
    <w:p w:rsidR="007E54E4" w:rsidRDefault="007E54E4" w:rsidP="00352A2A">
      <w:pPr>
        <w:pStyle w:val="T15TextBody"/>
      </w:pPr>
      <w:r>
        <w:t>In summary, we believe that before negotiations begin, the Government of Mexico should be required to take steps to bring its labour laws and practice into conformity with international standards – principally those of the ILO – and we believe that the EU should insist in any subsequent negotiations on the inclusion of enforceable dispute settlement arrangements for labour rights, and the establishment of an adequately resourced system of monitoring involving trade unions in Mexico and the European Union.</w:t>
      </w:r>
    </w:p>
    <w:p w:rsidR="00352A2A" w:rsidRPr="00352A2A" w:rsidRDefault="00352A2A" w:rsidP="00352A2A">
      <w:pPr>
        <w:pStyle w:val="T15TextBody"/>
      </w:pPr>
    </w:p>
    <w:p w:rsidR="00352A2A" w:rsidRDefault="00352A2A" w:rsidP="00352A2A">
      <w:pPr>
        <w:pStyle w:val="T15TextBody"/>
      </w:pPr>
      <w:r w:rsidRPr="00352A2A">
        <w:t>The revision of this agreement may have a significant impact on workers in both the European Union and Mexico, especially taken in conjunction with the EU-Canada Comprehensive Economic and Trade Agreement (CETA) and the Trans-Atlantic Trade and Investment Partnership (TTIP). As is the case with those initiatives, we would urge that the agreement with Mexico should include a</w:t>
      </w:r>
      <w:r w:rsidR="009C2721">
        <w:t>n enforceable</w:t>
      </w:r>
      <w:r w:rsidRPr="00352A2A">
        <w:t xml:space="preserve"> dispute settlement mechanism should either party fail to respect its undertakings on labour rights. </w:t>
      </w:r>
    </w:p>
    <w:p w:rsidR="00352A2A" w:rsidRPr="00352A2A" w:rsidRDefault="00352A2A" w:rsidP="00352A2A">
      <w:pPr>
        <w:pStyle w:val="T15TextBody"/>
      </w:pPr>
    </w:p>
    <w:p w:rsidR="00352A2A" w:rsidRDefault="00352A2A" w:rsidP="00352A2A">
      <w:pPr>
        <w:pStyle w:val="T15TextBody"/>
      </w:pPr>
      <w:r w:rsidRPr="00352A2A">
        <w:t xml:space="preserve">We believe it is in the interest of European </w:t>
      </w:r>
      <w:r w:rsidR="009C2721">
        <w:t xml:space="preserve">as well as Mexican </w:t>
      </w:r>
      <w:r w:rsidRPr="00352A2A">
        <w:t xml:space="preserve">workers that such an important agreement should respect and improve labour standards in Mexico. </w:t>
      </w:r>
      <w:r w:rsidR="009C2721">
        <w:t>This</w:t>
      </w:r>
      <w:r w:rsidRPr="00352A2A">
        <w:t xml:space="preserve"> agreement </w:t>
      </w:r>
      <w:r w:rsidRPr="00352A2A">
        <w:lastRenderedPageBreak/>
        <w:t xml:space="preserve">should facilitate the full implementation and enforceability of international standards as set by the ILO as well as other conventions such as the ILO Tripartite Declaration of Principles Concerning Multinational Enterprises and Social Policy, as well as the OECD guidelines for Multinational Enterprises; and the UN guiding principles on business and human rights. An overarching objective should be the promotion and respect of the ILO’s Decent Work agenda. </w:t>
      </w:r>
    </w:p>
    <w:p w:rsidR="00352A2A" w:rsidRPr="00352A2A" w:rsidRDefault="00352A2A" w:rsidP="00352A2A">
      <w:pPr>
        <w:pStyle w:val="T15TextBody"/>
      </w:pPr>
    </w:p>
    <w:p w:rsidR="009C2721" w:rsidRDefault="00352A2A" w:rsidP="00352A2A">
      <w:pPr>
        <w:pStyle w:val="T15TextBody"/>
      </w:pPr>
      <w:r w:rsidRPr="00352A2A">
        <w:t>Mexi</w:t>
      </w:r>
      <w:r w:rsidR="009C2721">
        <w:t>co has ratified 7 out of the 8 f</w:t>
      </w:r>
      <w:r w:rsidRPr="00352A2A">
        <w:t>undamental ILO Conventions. However, it has failed to ratify Conve</w:t>
      </w:r>
      <w:r w:rsidR="009C2721">
        <w:t>ntion 98 on the Right to Organis</w:t>
      </w:r>
      <w:r w:rsidRPr="00352A2A">
        <w:t xml:space="preserve">e and Collective Bargaining, which is one of the most important ones. </w:t>
      </w:r>
    </w:p>
    <w:p w:rsidR="009C2721" w:rsidRDefault="009C2721" w:rsidP="00352A2A">
      <w:pPr>
        <w:pStyle w:val="T15TextBody"/>
      </w:pPr>
    </w:p>
    <w:p w:rsidR="009C2721" w:rsidRDefault="00352A2A" w:rsidP="00352A2A">
      <w:pPr>
        <w:pStyle w:val="T15TextBody"/>
      </w:pPr>
      <w:r w:rsidRPr="00352A2A">
        <w:t xml:space="preserve">A few months ago the Mexican Secretary for Labour and Social Welfare, Alfonso </w:t>
      </w:r>
      <w:proofErr w:type="spellStart"/>
      <w:r w:rsidRPr="00352A2A">
        <w:t>Navarrete</w:t>
      </w:r>
      <w:proofErr w:type="spellEnd"/>
      <w:r w:rsidRPr="00352A2A">
        <w:t xml:space="preserve"> </w:t>
      </w:r>
      <w:proofErr w:type="spellStart"/>
      <w:r w:rsidRPr="00352A2A">
        <w:t>Prida</w:t>
      </w:r>
      <w:proofErr w:type="spellEnd"/>
      <w:r w:rsidRPr="00352A2A">
        <w:t xml:space="preserve"> committed to ratify ILO Convention 98 and promote genuine collective bargaining</w:t>
      </w:r>
      <w:r w:rsidR="009C2721" w:rsidRPr="009C2721">
        <w:rPr>
          <w:rStyle w:val="FootnoteReference"/>
          <w:vertAlign w:val="superscript"/>
        </w:rPr>
        <w:footnoteReference w:id="2"/>
      </w:r>
      <w:r w:rsidRPr="00352A2A">
        <w:t>. We would wish to see these commitments translated into tangible action, as a prerequisite to negotiati</w:t>
      </w:r>
      <w:r w:rsidR="009C2721">
        <w:t>ons</w:t>
      </w:r>
      <w:r w:rsidRPr="00352A2A">
        <w:t xml:space="preserve">. </w:t>
      </w:r>
    </w:p>
    <w:p w:rsidR="009C2721" w:rsidRDefault="009C2721" w:rsidP="00352A2A">
      <w:pPr>
        <w:pStyle w:val="T15TextBody"/>
      </w:pPr>
    </w:p>
    <w:p w:rsidR="00352A2A" w:rsidRDefault="00352A2A" w:rsidP="00352A2A">
      <w:pPr>
        <w:pStyle w:val="T15TextBody"/>
      </w:pPr>
      <w:r w:rsidRPr="00352A2A">
        <w:t xml:space="preserve">In addition, the ratification and effective implementation of this Convention is particularly needed to foster social dialogue in Mexico and to allow for better working conditions and improved wages for Mexican workers, many of whom are employed by European companies settled in Mexico. I would draw your attention, as an example, </w:t>
      </w:r>
      <w:r w:rsidR="009C2721">
        <w:t>to t</w:t>
      </w:r>
      <w:r w:rsidRPr="00352A2A">
        <w:t xml:space="preserve">he situation at BMW, where local management last year bought a ‘protection contract’ (see below) over the internet three years before the planned opening of the factory in 2017 – an issue of particular concern to both Mexican and European trade unions. </w:t>
      </w:r>
    </w:p>
    <w:p w:rsidR="00352A2A" w:rsidRPr="00352A2A" w:rsidRDefault="00352A2A" w:rsidP="00352A2A">
      <w:pPr>
        <w:pStyle w:val="T15TextBody"/>
      </w:pPr>
    </w:p>
    <w:p w:rsidR="00352A2A" w:rsidRPr="00352A2A" w:rsidRDefault="00352A2A" w:rsidP="00352A2A">
      <w:pPr>
        <w:pStyle w:val="T15TextBody"/>
      </w:pPr>
      <w:r w:rsidRPr="00352A2A">
        <w:t xml:space="preserve">We regret to observe that Mexico was among the 24 countries shortlisted for examination by the ILO Committee on Application of Standards in Geneva in June 2015, for its failure to implement ILO Convention 87 on Freedom of Association and Protection of </w:t>
      </w:r>
      <w:r w:rsidR="009C2721">
        <w:t>the Right to Organis</w:t>
      </w:r>
      <w:r w:rsidRPr="00352A2A">
        <w:t xml:space="preserve">e. </w:t>
      </w:r>
      <w:r w:rsidR="009C2721">
        <w:t>The conclusions</w:t>
      </w:r>
      <w:r w:rsidRPr="00352A2A">
        <w:t xml:space="preserve"> adopted by the ILO Governing Body and the Committee on Application of Standards asked the Mexican government to: </w:t>
      </w:r>
    </w:p>
    <w:p w:rsidR="00352A2A" w:rsidRPr="00352A2A" w:rsidRDefault="00352A2A" w:rsidP="00352A2A">
      <w:pPr>
        <w:pStyle w:val="T15TextBody"/>
        <w:numPr>
          <w:ilvl w:val="0"/>
          <w:numId w:val="3"/>
        </w:numPr>
      </w:pPr>
      <w:r>
        <w:t>i</w:t>
      </w:r>
      <w:r w:rsidRPr="00352A2A">
        <w:t>dentify, in consultation with the social partners, additional legislative reforms to the 2012 Labour Law necessary to comply with Convention No. 87. This should include reforms to prevent the registration of trade unions that cannot demonstrate the support of the majority of the workers they intend to represent, by means of a democratic election process</w:t>
      </w:r>
      <w:r>
        <w:t xml:space="preserve"> - so-called protection unions; and</w:t>
      </w:r>
    </w:p>
    <w:p w:rsidR="00352A2A" w:rsidRPr="00352A2A" w:rsidRDefault="00352A2A" w:rsidP="00352A2A">
      <w:pPr>
        <w:pStyle w:val="T15TextBody"/>
        <w:numPr>
          <w:ilvl w:val="0"/>
          <w:numId w:val="3"/>
        </w:numPr>
      </w:pPr>
      <w:r>
        <w:t>p</w:t>
      </w:r>
      <w:r w:rsidRPr="00352A2A">
        <w:t xml:space="preserve">rovide a report on progress made to comply with these recommendations by the next session of the Committee of Experts (November 2015) </w:t>
      </w:r>
    </w:p>
    <w:p w:rsidR="00352A2A" w:rsidRPr="00352A2A" w:rsidRDefault="00352A2A" w:rsidP="00352A2A">
      <w:pPr>
        <w:pStyle w:val="T15TextBody"/>
      </w:pPr>
    </w:p>
    <w:p w:rsidR="00352A2A" w:rsidRDefault="00352A2A" w:rsidP="00352A2A">
      <w:pPr>
        <w:pStyle w:val="T15TextBody"/>
      </w:pPr>
      <w:r w:rsidRPr="00352A2A">
        <w:t>The Committee requested the Mexican government to fulfil without delay its obligation to publish the registration and bylaws of trade unions on the local boards of the country’s 31 states, and to accept ILO Technical Assistance to address the issues referred to in these recommendations. We of course support those recommendations</w:t>
      </w:r>
      <w:r w:rsidR="007E54E4">
        <w:t>, conformity with which</w:t>
      </w:r>
      <w:r w:rsidRPr="00352A2A">
        <w:t xml:space="preserve"> </w:t>
      </w:r>
      <w:r w:rsidR="007E54E4">
        <w:t xml:space="preserve">should </w:t>
      </w:r>
      <w:r w:rsidRPr="00352A2A">
        <w:t xml:space="preserve">be a prerequisite </w:t>
      </w:r>
      <w:r w:rsidR="007E54E4">
        <w:t>for new</w:t>
      </w:r>
      <w:r w:rsidRPr="00352A2A">
        <w:t xml:space="preserve"> negotiations. </w:t>
      </w:r>
    </w:p>
    <w:p w:rsidR="00352A2A" w:rsidRPr="00352A2A" w:rsidRDefault="00352A2A" w:rsidP="00352A2A">
      <w:pPr>
        <w:pStyle w:val="T15TextBody"/>
      </w:pPr>
    </w:p>
    <w:p w:rsidR="00352A2A" w:rsidRDefault="00352A2A" w:rsidP="00352A2A">
      <w:pPr>
        <w:pStyle w:val="T15TextBody"/>
      </w:pPr>
      <w:r w:rsidRPr="00352A2A">
        <w:t>Mexican unions, together with international trade union organisations, have identified many serious violations of core labour rights in Mexico. The most seriou</w:t>
      </w:r>
      <w:r w:rsidR="007E54E4">
        <w:t xml:space="preserve">s of these are the practice </w:t>
      </w:r>
      <w:r w:rsidR="007E54E4">
        <w:lastRenderedPageBreak/>
        <w:t>of ‘protection contracts’ (</w:t>
      </w:r>
      <w:r w:rsidRPr="00352A2A">
        <w:t>collective agreements signed between an employer and an employer-dominated union, often without the knowledge of the workers</w:t>
      </w:r>
      <w:r w:rsidR="007E54E4">
        <w:t>)</w:t>
      </w:r>
      <w:r w:rsidRPr="00352A2A">
        <w:t xml:space="preserve"> and the institution of Labour Boards that are subject to corruption and manipulation by employers and employer-dominated unions. The ILO Committee on Freedom of Association and Committee of Experts have also highlighted these problems. </w:t>
      </w:r>
    </w:p>
    <w:p w:rsidR="007E54E4" w:rsidRDefault="007E54E4" w:rsidP="00352A2A">
      <w:pPr>
        <w:pStyle w:val="T15TextBody"/>
      </w:pPr>
    </w:p>
    <w:p w:rsidR="00352A2A" w:rsidRPr="00352A2A" w:rsidRDefault="00352A2A" w:rsidP="00352A2A">
      <w:pPr>
        <w:pStyle w:val="T15TextBody"/>
      </w:pPr>
      <w:r w:rsidRPr="00352A2A">
        <w:t xml:space="preserve">In the light of these considerations we believe that Mexico should: </w:t>
      </w:r>
    </w:p>
    <w:p w:rsidR="00352A2A" w:rsidRPr="00352A2A" w:rsidRDefault="00352A2A" w:rsidP="00352A2A">
      <w:pPr>
        <w:pStyle w:val="T15TextBody"/>
        <w:numPr>
          <w:ilvl w:val="0"/>
          <w:numId w:val="2"/>
        </w:numPr>
      </w:pPr>
      <w:r>
        <w:t>e</w:t>
      </w:r>
      <w:r w:rsidRPr="00352A2A">
        <w:t>nact constitutional reforms to eliminate the corrupt Conciliation and Arbitration Boards at the state and federal level, replacing them with labour judges who are indepe</w:t>
      </w:r>
      <w:r>
        <w:t>ndent from the executive power;</w:t>
      </w:r>
    </w:p>
    <w:p w:rsidR="00352A2A" w:rsidRPr="00352A2A" w:rsidRDefault="00352A2A" w:rsidP="00352A2A">
      <w:pPr>
        <w:pStyle w:val="T15TextBody"/>
        <w:numPr>
          <w:ilvl w:val="0"/>
          <w:numId w:val="1"/>
        </w:numPr>
      </w:pPr>
      <w:r>
        <w:t>m</w:t>
      </w:r>
      <w:r w:rsidRPr="00352A2A">
        <w:t xml:space="preserve">ake all collective bargaining agreements and union registrations public and transparent at the federal and state level, requiring employers to provide each worker a hard copy of his or her collective bargaining agreement and the basic documents of the union that represents that </w:t>
      </w:r>
      <w:r>
        <w:t>worker;</w:t>
      </w:r>
    </w:p>
    <w:p w:rsidR="00352A2A" w:rsidRPr="00352A2A" w:rsidRDefault="00352A2A" w:rsidP="00352A2A">
      <w:pPr>
        <w:pStyle w:val="T15TextBody"/>
        <w:numPr>
          <w:ilvl w:val="0"/>
          <w:numId w:val="1"/>
        </w:numPr>
      </w:pPr>
      <w:r>
        <w:t>m</w:t>
      </w:r>
      <w:r w:rsidRPr="00352A2A">
        <w:t>ake it illegal to file (</w:t>
      </w:r>
      <w:proofErr w:type="spellStart"/>
      <w:r w:rsidRPr="00352A2A">
        <w:t>depositar</w:t>
      </w:r>
      <w:proofErr w:type="spellEnd"/>
      <w:r w:rsidRPr="00352A2A">
        <w:t>) a collective bargaining agreement that has not been ratified by a majority of the wor</w:t>
      </w:r>
      <w:r>
        <w:t>kers covered by that agreement;</w:t>
      </w:r>
    </w:p>
    <w:p w:rsidR="00352A2A" w:rsidRPr="00352A2A" w:rsidRDefault="00352A2A" w:rsidP="00352A2A">
      <w:pPr>
        <w:pStyle w:val="T15TextBody"/>
        <w:numPr>
          <w:ilvl w:val="0"/>
          <w:numId w:val="1"/>
        </w:numPr>
      </w:pPr>
      <w:r>
        <w:t>m</w:t>
      </w:r>
      <w:r w:rsidRPr="00352A2A">
        <w:t>ake the union election (</w:t>
      </w:r>
      <w:proofErr w:type="spellStart"/>
      <w:r w:rsidRPr="00352A2A">
        <w:t>recuento</w:t>
      </w:r>
      <w:proofErr w:type="spellEnd"/>
      <w:r w:rsidRPr="00352A2A">
        <w:t>) process more transparent and effective, establishing fixed dates for stages in the process and stipulating that objections are to be resol</w:t>
      </w:r>
      <w:r>
        <w:t>ved after the election is held; and</w:t>
      </w:r>
    </w:p>
    <w:p w:rsidR="00352A2A" w:rsidRPr="00352A2A" w:rsidRDefault="00352A2A" w:rsidP="00352A2A">
      <w:pPr>
        <w:pStyle w:val="T15TextBody"/>
        <w:numPr>
          <w:ilvl w:val="0"/>
          <w:numId w:val="1"/>
        </w:numPr>
      </w:pPr>
      <w:r>
        <w:t>e</w:t>
      </w:r>
      <w:r w:rsidRPr="00352A2A">
        <w:t>liminate the requirement of union certification (</w:t>
      </w:r>
      <w:proofErr w:type="spellStart"/>
      <w:r w:rsidRPr="00352A2A">
        <w:t>toma</w:t>
      </w:r>
      <w:proofErr w:type="spellEnd"/>
      <w:r w:rsidRPr="00352A2A">
        <w:t xml:space="preserve"> de nota) which is used to control and limit the legal existence of unions. </w:t>
      </w:r>
    </w:p>
    <w:p w:rsidR="00352A2A" w:rsidRPr="00352A2A" w:rsidRDefault="00352A2A" w:rsidP="00352A2A">
      <w:pPr>
        <w:pStyle w:val="T15TextBody"/>
      </w:pPr>
    </w:p>
    <w:p w:rsidR="007E54E4" w:rsidRDefault="00352A2A" w:rsidP="00352A2A">
      <w:pPr>
        <w:pStyle w:val="T15TextBody"/>
      </w:pPr>
      <w:r w:rsidRPr="00352A2A">
        <w:t xml:space="preserve">Regarding future governance of the proposed EU-Mexico FTA, we believe that a mechanism similar to that on trade and sustainable development in the EU-Korea FTA, but also including enforcement provisions as mentioned above, might be established involving in particular independent representatives of the social partners and civil society from the EU and Mexico. Such a mechanism should be coherent with other representative bodies that should be instituted under the Global Agreement to advise its governing bodies on the general contents of the agreement. </w:t>
      </w:r>
    </w:p>
    <w:p w:rsidR="007E54E4" w:rsidRDefault="007E54E4" w:rsidP="00352A2A">
      <w:pPr>
        <w:pStyle w:val="T15TextBody"/>
      </w:pPr>
    </w:p>
    <w:p w:rsidR="00352A2A" w:rsidRDefault="00352A2A" w:rsidP="00352A2A">
      <w:pPr>
        <w:pStyle w:val="T15TextBody"/>
      </w:pPr>
      <w:r w:rsidRPr="00352A2A">
        <w:t>It is clear</w:t>
      </w:r>
      <w:r w:rsidR="007E54E4">
        <w:t xml:space="preserve"> from experience of other such bodies</w:t>
      </w:r>
      <w:r w:rsidRPr="00352A2A">
        <w:t xml:space="preserve"> that additional resources would be required to maintain such monitoring mechanisms and we propose that a specific budget line be incorporated in any proposal brought for consideration by the European Parliament and Member States. </w:t>
      </w:r>
    </w:p>
    <w:p w:rsidR="00352A2A" w:rsidRPr="00352A2A" w:rsidRDefault="00352A2A" w:rsidP="00352A2A">
      <w:pPr>
        <w:pStyle w:val="T15TextBody"/>
      </w:pPr>
    </w:p>
    <w:p w:rsidR="0060226D" w:rsidRPr="00352A2A" w:rsidRDefault="00352A2A" w:rsidP="00352A2A">
      <w:pPr>
        <w:pStyle w:val="T15TextBody"/>
      </w:pPr>
      <w:r>
        <w:t xml:space="preserve">The </w:t>
      </w:r>
      <w:r w:rsidRPr="00352A2A">
        <w:t>TUC hopes to maintain a fruitful dialogue with you on these negotiations given their foreseeable economic and social impact both for Mexico and the EU.</w:t>
      </w:r>
    </w:p>
    <w:p w:rsidR="0060226D" w:rsidRDefault="0060226D">
      <w:pPr>
        <w:pStyle w:val="T15TextBody"/>
      </w:pPr>
    </w:p>
    <w:p w:rsidR="0060226D" w:rsidRDefault="0060226D">
      <w:pPr>
        <w:pStyle w:val="T15TextBody"/>
      </w:pPr>
      <w:r>
        <w:t>Yours sincerely</w:t>
      </w:r>
    </w:p>
    <w:p w:rsidR="0060226D" w:rsidRDefault="0060226D">
      <w:pPr>
        <w:pStyle w:val="T15TextBody"/>
      </w:pPr>
    </w:p>
    <w:p w:rsidR="0060226D" w:rsidRDefault="00352A2A">
      <w:pPr>
        <w:pStyle w:val="T15TextBody"/>
        <w:rPr>
          <w:b/>
        </w:rPr>
      </w:pPr>
      <w:r>
        <w:rPr>
          <w:b/>
        </w:rPr>
        <w:t>FRANCES O’GRADY</w:t>
      </w:r>
    </w:p>
    <w:p w:rsidR="00694AB5" w:rsidRDefault="00694AB5">
      <w:pPr>
        <w:pStyle w:val="T15TextBody"/>
      </w:pPr>
    </w:p>
    <w:p w:rsidR="00352A2A" w:rsidRDefault="00352A2A">
      <w:pPr>
        <w:pStyle w:val="T15TextBody"/>
      </w:pPr>
      <w:r>
        <w:t>General Secretary</w:t>
      </w:r>
    </w:p>
    <w:sectPr w:rsidR="00352A2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8" w:h="16833" w:code="9"/>
      <w:pgMar w:top="1701" w:right="720" w:bottom="1979" w:left="1440" w:header="431" w:footer="4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A2A" w:rsidRDefault="00352A2A" w:rsidP="0060226D">
      <w:r>
        <w:separator/>
      </w:r>
    </w:p>
  </w:endnote>
  <w:endnote w:type="continuationSeparator" w:id="0">
    <w:p w:rsidR="00352A2A" w:rsidRDefault="00352A2A" w:rsidP="0060226D">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panose1 w:val="00000500000000000000"/>
    <w:charset w:val="00"/>
    <w:family w:val="roman"/>
    <w:notTrueType/>
    <w:pitch w:val="variable"/>
    <w:sig w:usb0="00000003" w:usb1="00000000" w:usb2="00000000" w:usb3="00000000" w:csb0="00000001" w:csb1="00000000"/>
  </w:font>
  <w:font w:name="Frutiger 55">
    <w:panose1 w:val="000B05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Frutiger 45">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3693D" w:rsidRDefault="0003693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pPr>
  </w:p>
  <w:p w:rsidR="0003693D" w:rsidRDefault="0003693D">
    <w:pPr>
      <w:pStyle w:val="Footer"/>
      <w:tabs>
        <w:tab w:val="clear" w:pos="4153"/>
        <w:tab w:val="clear" w:pos="8306"/>
        <w:tab w:val="right" w:pos="9720"/>
      </w:tabs>
      <w:ind w:right="28"/>
      <w:rPr>
        <w:rFonts w:ascii="Frutiger 45" w:hAnsi="Frutiger 45"/>
        <w:sz w:val="18"/>
      </w:rPr>
    </w:pPr>
    <w:r>
      <w:tab/>
    </w:r>
    <w:r>
      <w:rPr>
        <w:rStyle w:val="PageNumber"/>
        <w:rFonts w:ascii="Frutiger 45" w:hAnsi="Frutiger 45"/>
        <w:sz w:val="18"/>
      </w:rPr>
      <w:fldChar w:fldCharType="begin"/>
    </w:r>
    <w:r>
      <w:rPr>
        <w:rStyle w:val="PageNumber"/>
        <w:rFonts w:ascii="Frutiger 45" w:hAnsi="Frutiger 45"/>
        <w:sz w:val="18"/>
      </w:rPr>
      <w:instrText xml:space="preserve"> PAGE </w:instrText>
    </w:r>
    <w:r>
      <w:rPr>
        <w:rStyle w:val="PageNumber"/>
        <w:rFonts w:ascii="Frutiger 45" w:hAnsi="Frutiger 45"/>
        <w:sz w:val="18"/>
      </w:rPr>
      <w:fldChar w:fldCharType="separate"/>
    </w:r>
    <w:r w:rsidR="00694AB5">
      <w:rPr>
        <w:rStyle w:val="PageNumber"/>
        <w:rFonts w:ascii="Frutiger 45" w:hAnsi="Frutiger 45"/>
        <w:noProof/>
        <w:sz w:val="18"/>
      </w:rPr>
      <w:t>3</w:t>
    </w:r>
    <w:r>
      <w:rPr>
        <w:rStyle w:val="PageNumber"/>
        <w:rFonts w:ascii="Frutiger 45" w:hAnsi="Frutiger 45"/>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7E54E4">
    <w:pPr>
      <w:pStyle w:val="Footer"/>
    </w:pPr>
    <w:r>
      <w:rPr>
        <w:noProof/>
        <w:snapToGrid/>
        <w:lang w:val="en-GB" w:eastAsia="en-GB"/>
      </w:rPr>
      <w:drawing>
        <wp:anchor distT="0" distB="0" distL="114300" distR="114300" simplePos="0" relativeHeight="251659264" behindDoc="1" locked="1" layoutInCell="1" allowOverlap="1">
          <wp:simplePos x="0" y="0"/>
          <wp:positionH relativeFrom="column">
            <wp:posOffset>5112385</wp:posOffset>
          </wp:positionH>
          <wp:positionV relativeFrom="page">
            <wp:posOffset>9923780</wp:posOffset>
          </wp:positionV>
          <wp:extent cx="1104265" cy="342265"/>
          <wp:effectExtent l="19050" t="0" r="635" b="0"/>
          <wp:wrapNone/>
          <wp:docPr id="16" name="Picture 16" descr="IIP_LOGO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IP_LOGO 2009"/>
                  <pic:cNvPicPr>
                    <a:picLocks noChangeAspect="1" noChangeArrowheads="1"/>
                  </pic:cNvPicPr>
                </pic:nvPicPr>
                <pic:blipFill>
                  <a:blip r:embed="rId1"/>
                  <a:srcRect/>
                  <a:stretch>
                    <a:fillRect/>
                  </a:stretch>
                </pic:blipFill>
                <pic:spPr bwMode="auto">
                  <a:xfrm>
                    <a:off x="0" y="0"/>
                    <a:ext cx="1104265" cy="342265"/>
                  </a:xfrm>
                  <a:prstGeom prst="rect">
                    <a:avLst/>
                  </a:prstGeom>
                  <a:noFill/>
                  <a:ln w="9525">
                    <a:noFill/>
                    <a:miter lim="800000"/>
                    <a:headEnd/>
                    <a:tailEnd/>
                  </a:ln>
                </pic:spPr>
              </pic:pic>
            </a:graphicData>
          </a:graphic>
        </wp:anchor>
      </w:drawing>
    </w:r>
  </w:p>
  <w:p w:rsidR="0003693D" w:rsidRDefault="007E54E4">
    <w:pPr>
      <w:pStyle w:val="Footer"/>
    </w:pPr>
    <w:r>
      <w:rPr>
        <w:noProof/>
        <w:snapToGrid/>
        <w:lang w:val="en-GB" w:eastAsia="en-GB"/>
      </w:rPr>
      <w:drawing>
        <wp:anchor distT="0" distB="0" distL="114300" distR="114300" simplePos="0" relativeHeight="251658240" behindDoc="0" locked="1" layoutInCell="1" allowOverlap="1">
          <wp:simplePos x="0" y="0"/>
          <wp:positionH relativeFrom="column">
            <wp:posOffset>4071620</wp:posOffset>
          </wp:positionH>
          <wp:positionV relativeFrom="page">
            <wp:posOffset>9674225</wp:posOffset>
          </wp:positionV>
          <wp:extent cx="845185" cy="668655"/>
          <wp:effectExtent l="19050" t="0" r="0" b="0"/>
          <wp:wrapSquare wrapText="bothSides"/>
          <wp:docPr id="15" name="Picture 15" descr="LW_logo_employe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W_logo_employer_rgb"/>
                  <pic:cNvPicPr>
                    <a:picLocks noChangeAspect="1" noChangeArrowheads="1"/>
                  </pic:cNvPicPr>
                </pic:nvPicPr>
                <pic:blipFill>
                  <a:blip r:embed="rId2"/>
                  <a:srcRect/>
                  <a:stretch>
                    <a:fillRect/>
                  </a:stretch>
                </pic:blipFill>
                <pic:spPr bwMode="auto">
                  <a:xfrm>
                    <a:off x="0" y="0"/>
                    <a:ext cx="845185" cy="66865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A2A" w:rsidRDefault="00352A2A" w:rsidP="0060226D">
      <w:r>
        <w:separator/>
      </w:r>
    </w:p>
  </w:footnote>
  <w:footnote w:type="continuationSeparator" w:id="0">
    <w:p w:rsidR="00352A2A" w:rsidRDefault="00352A2A" w:rsidP="0060226D">
      <w:r>
        <w:continuationSeparator/>
      </w:r>
    </w:p>
  </w:footnote>
  <w:footnote w:id="1">
    <w:p w:rsidR="009C2721" w:rsidRDefault="009C2721">
      <w:pPr>
        <w:pStyle w:val="FootnoteText"/>
      </w:pPr>
      <w:r>
        <w:rPr>
          <w:rStyle w:val="FootnoteReference"/>
        </w:rPr>
        <w:footnoteRef/>
      </w:r>
      <w:r>
        <w:t xml:space="preserve"> </w:t>
      </w:r>
      <w:proofErr w:type="spellStart"/>
      <w:r w:rsidRPr="009C2721">
        <w:rPr>
          <w:rFonts w:cs="Calibri"/>
          <w:sz w:val="20"/>
        </w:rPr>
        <w:t>Confederación</w:t>
      </w:r>
      <w:proofErr w:type="spellEnd"/>
      <w:r w:rsidRPr="009C2721">
        <w:rPr>
          <w:rFonts w:cs="Calibri"/>
          <w:sz w:val="20"/>
        </w:rPr>
        <w:t xml:space="preserve"> de </w:t>
      </w:r>
      <w:proofErr w:type="spellStart"/>
      <w:r w:rsidRPr="009C2721">
        <w:rPr>
          <w:rFonts w:cs="Calibri"/>
          <w:sz w:val="20"/>
        </w:rPr>
        <w:t>Trabajadores</w:t>
      </w:r>
      <w:proofErr w:type="spellEnd"/>
      <w:r w:rsidRPr="009C2721">
        <w:rPr>
          <w:rFonts w:cs="Calibri"/>
          <w:sz w:val="20"/>
        </w:rPr>
        <w:t xml:space="preserve"> de México (CTM), </w:t>
      </w:r>
      <w:proofErr w:type="spellStart"/>
      <w:r w:rsidRPr="009C2721">
        <w:rPr>
          <w:rFonts w:cs="Calibri"/>
          <w:sz w:val="20"/>
        </w:rPr>
        <w:t>Confederación</w:t>
      </w:r>
      <w:proofErr w:type="spellEnd"/>
      <w:r w:rsidRPr="009C2721">
        <w:rPr>
          <w:rFonts w:cs="Calibri"/>
          <w:sz w:val="20"/>
        </w:rPr>
        <w:t xml:space="preserve"> </w:t>
      </w:r>
      <w:proofErr w:type="spellStart"/>
      <w:r w:rsidRPr="009C2721">
        <w:rPr>
          <w:rFonts w:cs="Calibri"/>
          <w:sz w:val="20"/>
        </w:rPr>
        <w:t>Revolucionaria</w:t>
      </w:r>
      <w:proofErr w:type="spellEnd"/>
      <w:r w:rsidRPr="009C2721">
        <w:rPr>
          <w:rFonts w:cs="Calibri"/>
          <w:sz w:val="20"/>
        </w:rPr>
        <w:t xml:space="preserve"> de </w:t>
      </w:r>
      <w:proofErr w:type="spellStart"/>
      <w:r w:rsidRPr="009C2721">
        <w:rPr>
          <w:rFonts w:cs="Calibri"/>
          <w:sz w:val="20"/>
        </w:rPr>
        <w:t>Obreros</w:t>
      </w:r>
      <w:proofErr w:type="spellEnd"/>
      <w:r w:rsidRPr="009C2721">
        <w:rPr>
          <w:rFonts w:cs="Calibri"/>
          <w:sz w:val="20"/>
        </w:rPr>
        <w:t xml:space="preserve"> y </w:t>
      </w:r>
      <w:proofErr w:type="spellStart"/>
      <w:r w:rsidRPr="009C2721">
        <w:rPr>
          <w:rFonts w:cs="Calibri"/>
          <w:sz w:val="20"/>
        </w:rPr>
        <w:t>Campesinos</w:t>
      </w:r>
      <w:proofErr w:type="spellEnd"/>
      <w:r w:rsidRPr="009C2721">
        <w:rPr>
          <w:rFonts w:cs="Calibri"/>
          <w:sz w:val="20"/>
        </w:rPr>
        <w:t xml:space="preserve"> (CROC), </w:t>
      </w:r>
      <w:proofErr w:type="spellStart"/>
      <w:r w:rsidRPr="009C2721">
        <w:rPr>
          <w:rFonts w:cs="Calibri"/>
          <w:sz w:val="20"/>
        </w:rPr>
        <w:t>Consejo</w:t>
      </w:r>
      <w:proofErr w:type="spellEnd"/>
      <w:r w:rsidRPr="009C2721">
        <w:rPr>
          <w:rFonts w:cs="Calibri"/>
          <w:sz w:val="20"/>
        </w:rPr>
        <w:t xml:space="preserve"> </w:t>
      </w:r>
      <w:proofErr w:type="spellStart"/>
      <w:r w:rsidRPr="009C2721">
        <w:rPr>
          <w:rFonts w:cs="Calibri"/>
          <w:sz w:val="20"/>
        </w:rPr>
        <w:t>Nacional</w:t>
      </w:r>
      <w:proofErr w:type="spellEnd"/>
      <w:r w:rsidRPr="009C2721">
        <w:rPr>
          <w:rFonts w:cs="Calibri"/>
          <w:sz w:val="20"/>
        </w:rPr>
        <w:t xml:space="preserve"> de los </w:t>
      </w:r>
      <w:proofErr w:type="spellStart"/>
      <w:r w:rsidRPr="009C2721">
        <w:rPr>
          <w:rFonts w:cs="Calibri"/>
          <w:sz w:val="20"/>
        </w:rPr>
        <w:t>Trabajadores</w:t>
      </w:r>
      <w:proofErr w:type="spellEnd"/>
      <w:r w:rsidRPr="009C2721">
        <w:rPr>
          <w:rFonts w:cs="Calibri"/>
          <w:sz w:val="20"/>
        </w:rPr>
        <w:t xml:space="preserve"> (CNT), Unión </w:t>
      </w:r>
      <w:proofErr w:type="spellStart"/>
      <w:r w:rsidRPr="009C2721">
        <w:rPr>
          <w:rFonts w:cs="Calibri"/>
          <w:sz w:val="20"/>
        </w:rPr>
        <w:t>Nacional</w:t>
      </w:r>
      <w:proofErr w:type="spellEnd"/>
      <w:r w:rsidRPr="009C2721">
        <w:rPr>
          <w:rFonts w:cs="Calibri"/>
          <w:sz w:val="20"/>
        </w:rPr>
        <w:t xml:space="preserve"> de </w:t>
      </w:r>
      <w:proofErr w:type="spellStart"/>
      <w:r w:rsidRPr="009C2721">
        <w:rPr>
          <w:rFonts w:cs="Calibri"/>
          <w:sz w:val="20"/>
        </w:rPr>
        <w:t>Trabajadores</w:t>
      </w:r>
      <w:proofErr w:type="spellEnd"/>
      <w:r w:rsidRPr="009C2721">
        <w:rPr>
          <w:rFonts w:cs="Calibri"/>
          <w:sz w:val="20"/>
        </w:rPr>
        <w:t xml:space="preserve"> (UNT)</w:t>
      </w:r>
    </w:p>
  </w:footnote>
  <w:footnote w:id="2">
    <w:p w:rsidR="009C2721" w:rsidRPr="009C2721" w:rsidRDefault="009C2721" w:rsidP="009C2721">
      <w:pPr>
        <w:pStyle w:val="Default"/>
        <w:rPr>
          <w:rFonts w:ascii="Sabon" w:hAnsi="Sabon"/>
          <w:sz w:val="20"/>
          <w:szCs w:val="20"/>
        </w:rPr>
      </w:pPr>
      <w:r w:rsidRPr="009C2721">
        <w:rPr>
          <w:rStyle w:val="FootnoteReference"/>
          <w:rFonts w:ascii="Sabon" w:hAnsi="Sabon"/>
          <w:sz w:val="20"/>
          <w:szCs w:val="20"/>
        </w:rPr>
        <w:footnoteRef/>
      </w:r>
      <w:r w:rsidRPr="009C2721">
        <w:rPr>
          <w:rFonts w:ascii="Sabon" w:hAnsi="Sabon"/>
          <w:sz w:val="20"/>
          <w:szCs w:val="20"/>
        </w:rPr>
        <w:t xml:space="preserve"> </w:t>
      </w:r>
      <w:r w:rsidRPr="009C2721">
        <w:rPr>
          <w:rFonts w:ascii="Sabon" w:hAnsi="Sabon" w:cs="Calibri"/>
          <w:color w:val="0462C1"/>
          <w:sz w:val="20"/>
          <w:szCs w:val="20"/>
        </w:rPr>
        <w:t xml:space="preserve">http://www.ituc-csi.org/mexico-to-ratify-ilo-convention-98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A2A" w:rsidRDefault="00352A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7E54E4">
    <w:pPr>
      <w:pStyle w:val="Header"/>
    </w:pPr>
    <w:r>
      <w:rPr>
        <w:noProof/>
        <w:snapToGrid/>
        <w:lang w:val="en-GB" w:eastAsia="en-GB"/>
      </w:rPr>
      <w:drawing>
        <wp:anchor distT="0" distB="0" distL="114300" distR="114300" simplePos="0" relativeHeight="251656192" behindDoc="0" locked="1" layoutInCell="1" allowOverlap="1">
          <wp:simplePos x="0" y="0"/>
          <wp:positionH relativeFrom="page">
            <wp:posOffset>6135370</wp:posOffset>
          </wp:positionH>
          <wp:positionV relativeFrom="page">
            <wp:posOffset>431800</wp:posOffset>
          </wp:positionV>
          <wp:extent cx="978535" cy="548640"/>
          <wp:effectExtent l="19050" t="0" r="0" b="0"/>
          <wp:wrapTopAndBottom/>
          <wp:docPr id="2" name="Picture 2">
            <a:hlinkClick xmlns:a="http://schemas.openxmlformats.org/drawingml/2006/main" r:id="rId1" tooltip="Link to: TUC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 tooltip="Link to: TUC homepage"/>
                  </pic:cNvPr>
                  <pic:cNvPicPr>
                    <a:picLocks noChangeAspect="1" noChangeArrowheads="1"/>
                  </pic:cNvPicPr>
                </pic:nvPicPr>
                <pic:blipFill>
                  <a:blip r:embed="rId2"/>
                  <a:srcRect/>
                  <a:stretch>
                    <a:fillRect/>
                  </a:stretch>
                </pic:blipFill>
                <pic:spPr bwMode="auto">
                  <a:xfrm>
                    <a:off x="0" y="0"/>
                    <a:ext cx="978535" cy="54864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93D" w:rsidRDefault="007E54E4">
    <w:pPr>
      <w:pStyle w:val="Header"/>
    </w:pPr>
    <w:r>
      <w:rPr>
        <w:noProof/>
        <w:snapToGrid/>
        <w:lang w:val="en-GB" w:eastAsia="en-GB"/>
      </w:rPr>
      <w:drawing>
        <wp:anchor distT="0" distB="0" distL="114300" distR="114300" simplePos="0" relativeHeight="251657216" behindDoc="1" locked="1" layoutInCell="1" allowOverlap="1">
          <wp:simplePos x="0" y="0"/>
          <wp:positionH relativeFrom="page">
            <wp:posOffset>838200</wp:posOffset>
          </wp:positionH>
          <wp:positionV relativeFrom="page">
            <wp:posOffset>1403985</wp:posOffset>
          </wp:positionV>
          <wp:extent cx="1705610" cy="295275"/>
          <wp:effectExtent l="19050" t="0" r="8890" b="0"/>
          <wp:wrapNone/>
          <wp:docPr id="5" name="shpTUC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pTUC_blue"/>
                  <pic:cNvPicPr>
                    <a:picLocks noChangeAspect="1" noChangeArrowheads="1"/>
                  </pic:cNvPicPr>
                </pic:nvPicPr>
                <pic:blipFill>
                  <a:blip r:embed="rId1"/>
                  <a:srcRect/>
                  <a:stretch>
                    <a:fillRect/>
                  </a:stretch>
                </pic:blipFill>
                <pic:spPr bwMode="auto">
                  <a:xfrm>
                    <a:off x="0" y="0"/>
                    <a:ext cx="1705610" cy="2952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732BC"/>
    <w:multiLevelType w:val="hybridMultilevel"/>
    <w:tmpl w:val="4866E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4D32E4"/>
    <w:multiLevelType w:val="hybridMultilevel"/>
    <w:tmpl w:val="B0C8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FF1ACA"/>
    <w:multiLevelType w:val="hybridMultilevel"/>
    <w:tmpl w:val="F378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9C2721"/>
    <w:rsid w:val="0003693D"/>
    <w:rsid w:val="0005466C"/>
    <w:rsid w:val="00081C7D"/>
    <w:rsid w:val="000E1EA6"/>
    <w:rsid w:val="001B4FE5"/>
    <w:rsid w:val="0021695B"/>
    <w:rsid w:val="00255B0C"/>
    <w:rsid w:val="00352A2A"/>
    <w:rsid w:val="003D6354"/>
    <w:rsid w:val="0044662F"/>
    <w:rsid w:val="00481663"/>
    <w:rsid w:val="00510AA6"/>
    <w:rsid w:val="005546EE"/>
    <w:rsid w:val="005B79AC"/>
    <w:rsid w:val="005F215F"/>
    <w:rsid w:val="0060226D"/>
    <w:rsid w:val="00694AB5"/>
    <w:rsid w:val="006977E4"/>
    <w:rsid w:val="007E54E4"/>
    <w:rsid w:val="008127EB"/>
    <w:rsid w:val="008818E1"/>
    <w:rsid w:val="00951AC9"/>
    <w:rsid w:val="009C2721"/>
    <w:rsid w:val="00A12B60"/>
    <w:rsid w:val="00B17A52"/>
    <w:rsid w:val="00D53C1E"/>
    <w:rsid w:val="00E407CF"/>
    <w:rsid w:val="00F11900"/>
    <w:rsid w:val="00F6166C"/>
    <w:rsid w:val="00F757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Sabon" w:hAnsi="Sabon"/>
      <w:snapToGrid w:val="0"/>
      <w:sz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customStyle="1" w:styleId="T15TextBody">
    <w:name w:val="T15TextBody"/>
    <w:rPr>
      <w:rFonts w:ascii="Sabon" w:hAnsi="Sabon"/>
      <w:sz w:val="24"/>
      <w:lang w:eastAsia="en-US"/>
    </w:rPr>
  </w:style>
  <w:style w:type="paragraph" w:customStyle="1" w:styleId="T15SubjectHeader">
    <w:name w:val="T15SubjectHeader"/>
    <w:next w:val="T15TextBody"/>
    <w:pPr>
      <w:keepNext/>
      <w:spacing w:after="360"/>
    </w:pPr>
    <w:rPr>
      <w:rFonts w:ascii="Frutiger 55" w:hAnsi="Frutiger 55"/>
      <w:b/>
      <w:sz w:val="24"/>
      <w:lang w:eastAsia="en-US"/>
    </w:rPr>
  </w:style>
  <w:style w:type="paragraph" w:styleId="EndnoteText">
    <w:name w:val="endnote text"/>
    <w:basedOn w:val="T15TextBody"/>
    <w:semiHidden/>
    <w:rPr>
      <w:sz w:val="20"/>
    </w:rPr>
  </w:style>
  <w:style w:type="paragraph" w:styleId="FootnoteText">
    <w:name w:val="footnote text"/>
    <w:basedOn w:val="T15TextBody"/>
    <w:semiHidden/>
    <w:rPr>
      <w:sz w:val="18"/>
    </w:rPr>
  </w:style>
  <w:style w:type="paragraph" w:customStyle="1" w:styleId="T15ContactsDescriptors">
    <w:name w:val="T15ContactsDescriptors"/>
    <w:pPr>
      <w:tabs>
        <w:tab w:val="left" w:pos="900"/>
      </w:tabs>
      <w:spacing w:line="320" w:lineRule="exact"/>
    </w:pPr>
    <w:rPr>
      <w:rFonts w:ascii="Sabon" w:hAnsi="Sabon"/>
      <w:sz w:val="16"/>
      <w:lang w:eastAsia="en-US"/>
    </w:rPr>
  </w:style>
  <w:style w:type="character" w:customStyle="1" w:styleId="T15Contacts">
    <w:name w:val="T15Contacts"/>
    <w:basedOn w:val="DefaultParagraphFont"/>
    <w:rPr>
      <w:rFonts w:ascii="Sabon" w:hAnsi="Sabon"/>
      <w:sz w:val="24"/>
    </w:rPr>
  </w:style>
  <w:style w:type="character" w:styleId="FollowedHyperlink">
    <w:name w:val="FollowedHyperlink"/>
    <w:basedOn w:val="DefaultParagraphFont"/>
    <w:semiHidden/>
    <w:rPr>
      <w:color w:val="800080"/>
      <w:u w:val="single"/>
    </w:rPr>
  </w:style>
  <w:style w:type="paragraph" w:customStyle="1" w:styleId="Default">
    <w:name w:val="Default"/>
    <w:rsid w:val="00352A2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94AB5"/>
    <w:rPr>
      <w:rFonts w:ascii="Tahoma" w:hAnsi="Tahoma" w:cs="Tahoma"/>
      <w:sz w:val="16"/>
      <w:szCs w:val="16"/>
    </w:rPr>
  </w:style>
  <w:style w:type="character" w:customStyle="1" w:styleId="BalloonTextChar">
    <w:name w:val="Balloon Text Char"/>
    <w:basedOn w:val="DefaultParagraphFont"/>
    <w:link w:val="BalloonText"/>
    <w:uiPriority w:val="99"/>
    <w:semiHidden/>
    <w:rsid w:val="00694AB5"/>
    <w:rPr>
      <w:rFonts w:ascii="Tahoma" w:hAnsi="Tahoma" w:cs="Tahoma"/>
      <w:snapToGrid w:val="0"/>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c.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hyperlink" Target="http://www.tu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E-Letter_2013%20(check%20'display%20logos')%20rev%2013%20F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89FC4-3486-45FD-8199-9B484CAC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E-Letter_2013 (check 'display logos') rev 13 Feb</Template>
  <TotalTime>8</TotalTime>
  <Pages>3</Pages>
  <Words>1145</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7479</CharactersWithSpaces>
  <SharedDoc>false</SharedDoc>
  <HLinks>
    <vt:vector size="18" baseType="variant">
      <vt:variant>
        <vt:i4>7209020</vt:i4>
      </vt:variant>
      <vt:variant>
        <vt:i4>0</vt:i4>
      </vt:variant>
      <vt:variant>
        <vt:i4>0</vt:i4>
      </vt:variant>
      <vt:variant>
        <vt:i4>5</vt:i4>
      </vt:variant>
      <vt:variant>
        <vt:lpwstr>http://www.tuc.org.uk/</vt:lpwstr>
      </vt:variant>
      <vt:variant>
        <vt:lpwstr/>
      </vt:variant>
      <vt:variant>
        <vt:i4>7209020</vt:i4>
      </vt:variant>
      <vt:variant>
        <vt:i4>-1</vt:i4>
      </vt:variant>
      <vt:variant>
        <vt:i4>1026</vt:i4>
      </vt:variant>
      <vt:variant>
        <vt:i4>4</vt:i4>
      </vt:variant>
      <vt:variant>
        <vt:lpwstr>http://www.tuc.org.uk/</vt:lpwstr>
      </vt:variant>
      <vt:variant>
        <vt:lpwstr/>
      </vt:variant>
      <vt:variant>
        <vt:i4>7209020</vt:i4>
      </vt:variant>
      <vt:variant>
        <vt:i4>-1</vt:i4>
      </vt:variant>
      <vt:variant>
        <vt:i4>2050</vt:i4>
      </vt:variant>
      <vt:variant>
        <vt:i4>4</vt:i4>
      </vt:variant>
      <vt:variant>
        <vt:lpwstr>http://www.tuc.org.uk/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tudoro</dc:creator>
  <cp:lastModifiedBy>tudoro</cp:lastModifiedBy>
  <cp:revision>2</cp:revision>
  <cp:lastPrinted>2012-12-19T12:20:00Z</cp:lastPrinted>
  <dcterms:created xsi:type="dcterms:W3CDTF">2015-08-28T22:49:00Z</dcterms:created>
  <dcterms:modified xsi:type="dcterms:W3CDTF">2015-08-28T22:49:00Z</dcterms:modified>
</cp:coreProperties>
</file>