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495"/>
        <w:gridCol w:w="4469"/>
      </w:tblGrid>
      <w:tr w:rsidR="00D564DF">
        <w:tblPrEx>
          <w:tblCellMar>
            <w:top w:w="0" w:type="dxa"/>
            <w:bottom w:w="0" w:type="dxa"/>
          </w:tblCellMar>
        </w:tblPrEx>
        <w:trPr>
          <w:trHeight w:hRule="exact" w:val="1134"/>
        </w:trPr>
        <w:tc>
          <w:tcPr>
            <w:tcW w:w="5495" w:type="dxa"/>
          </w:tcPr>
          <w:p w:rsidR="00D564DF" w:rsidRDefault="00471DB6">
            <w:pPr>
              <w:pStyle w:val="T15TextBody"/>
            </w:pPr>
            <w:r>
              <w:rPr>
                <w:noProof/>
                <w:sz w:val="20"/>
                <w:lang w:eastAsia="en-GB"/>
              </w:rPr>
              <w:drawing>
                <wp:anchor distT="0" distB="0" distL="114300" distR="114300" simplePos="0" relativeHeight="251658752" behindDoc="1" locked="1" layoutInCell="1" allowOverlap="1">
                  <wp:simplePos x="0" y="0"/>
                  <wp:positionH relativeFrom="page">
                    <wp:posOffset>-7620</wp:posOffset>
                  </wp:positionH>
                  <wp:positionV relativeFrom="page">
                    <wp:posOffset>309880</wp:posOffset>
                  </wp:positionV>
                  <wp:extent cx="1705610" cy="295275"/>
                  <wp:effectExtent l="0" t="0" r="8890" b="9525"/>
                  <wp:wrapNone/>
                  <wp:docPr id="4"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7728" behindDoc="1" locked="1" layoutInCell="1" allowOverlap="1">
                      <wp:simplePos x="0" y="0"/>
                      <wp:positionH relativeFrom="column">
                        <wp:posOffset>-76200</wp:posOffset>
                      </wp:positionH>
                      <wp:positionV relativeFrom="page">
                        <wp:posOffset>8650605</wp:posOffset>
                      </wp:positionV>
                      <wp:extent cx="6485890" cy="692150"/>
                      <wp:effectExtent l="0" t="0" r="0" b="0"/>
                      <wp:wrapNone/>
                      <wp:docPr id="3" name="shpFooter_bl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DF" w:rsidRDefault="00D564DF">
                                  <w:pPr>
                                    <w:pStyle w:val="T15Footer"/>
                                  </w:pPr>
                                  <w:r>
                                    <w:t>Congress House, Great Russell Street, London WC1B 3LS</w:t>
                                  </w:r>
                                </w:p>
                                <w:p w:rsidR="00D564DF" w:rsidRDefault="00D564DF">
                                  <w:pPr>
                                    <w:pStyle w:val="T15Footer"/>
                                  </w:pPr>
                                  <w:r>
                                    <w:t>telephone: 0</w:t>
                                  </w:r>
                                  <w:r w:rsidR="00986E91">
                                    <w:t xml:space="preserve">20 7636 4030   </w:t>
                                  </w:r>
                                  <w:hyperlink r:id="rId8"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pFooter_blue" o:spid="_x0000_s1026" type="#_x0000_t202" style="position:absolute;margin-left:-6pt;margin-top:681.15pt;width:510.7pt;height: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" filled="f" stroked="f">
                      <v:textbox>
                        <w:txbxContent>
                          <w:p w:rsidR="00D564DF" w:rsidRDefault="00D564DF">
                            <w:pPr>
                              <w:pStyle w:val="T15Footer"/>
                            </w:pPr>
                            <w:r>
                              <w:t>Congress House, Great Russell Street, London WC1B 3LS</w:t>
                            </w:r>
                          </w:p>
                          <w:p w:rsidR="00D564DF" w:rsidRDefault="00D564DF">
                            <w:pPr>
                              <w:pStyle w:val="T15Footer"/>
                            </w:pPr>
                            <w:r>
                              <w:t>telephone: 0</w:t>
                            </w:r>
                            <w:r w:rsidR="00986E91">
                              <w:t xml:space="preserve">20 7636 4030   </w:t>
                            </w:r>
                            <w:hyperlink r:id="rId9"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v:textbox>
                      <w10:wrap anchory="page"/>
                      <w10:anchorlock/>
                    </v:shape>
                  </w:pict>
                </mc:Fallback>
              </mc:AlternateContent>
            </w:r>
            <w:r>
              <w:rPr>
                <w:noProof/>
                <w:sz w:val="20"/>
                <w:lang w:eastAsia="en-GB"/>
              </w:rPr>
              <w:drawing>
                <wp:anchor distT="0" distB="0" distL="114300" distR="114300" simplePos="0" relativeHeight="251656704" behindDoc="0" locked="1" layoutInCell="1" allowOverlap="1">
                  <wp:simplePos x="0" y="0"/>
                  <wp:positionH relativeFrom="page">
                    <wp:posOffset>3827780</wp:posOffset>
                  </wp:positionH>
                  <wp:positionV relativeFrom="page">
                    <wp:posOffset>-612775</wp:posOffset>
                  </wp:positionV>
                  <wp:extent cx="2012315" cy="1157605"/>
                  <wp:effectExtent l="0" t="0" r="6985" b="4445"/>
                  <wp:wrapNone/>
                  <wp:docPr id="1" name="shpLogo_red">
                    <a:hlinkClick xmlns:a="http://schemas.openxmlformats.org/drawingml/2006/main" r:id="rId9"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9" tooltip="Link to: TUC homepage"/>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231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9" w:type="dxa"/>
          </w:tcPr>
          <w:p w:rsidR="00D564DF" w:rsidRDefault="00D564DF">
            <w:pPr>
              <w:pStyle w:val="T15ContactsDescriptors"/>
              <w:rPr>
                <w:vanish/>
              </w:rPr>
            </w:pPr>
          </w:p>
        </w:tc>
      </w:tr>
      <w:tr w:rsidR="00D564DF">
        <w:tblPrEx>
          <w:tblCellMar>
            <w:top w:w="0" w:type="dxa"/>
            <w:bottom w:w="0" w:type="dxa"/>
          </w:tblCellMar>
        </w:tblPrEx>
        <w:trPr>
          <w:trHeight w:val="3395"/>
        </w:trPr>
        <w:tc>
          <w:tcPr>
            <w:tcW w:w="5495" w:type="dxa"/>
          </w:tcPr>
          <w:p w:rsidR="00471DB6" w:rsidRPr="00471DB6" w:rsidRDefault="00471DB6" w:rsidP="00471DB6">
            <w:pPr>
              <w:pStyle w:val="T15TextBody"/>
            </w:pPr>
            <w:r w:rsidRPr="00471DB6">
              <w:t>His Excellency Mr Erzhan Kazykhanov</w:t>
            </w:r>
          </w:p>
          <w:p w:rsidR="00471DB6" w:rsidRPr="00471DB6" w:rsidRDefault="00471DB6" w:rsidP="00471DB6">
            <w:pPr>
              <w:pStyle w:val="T15TextBody"/>
            </w:pPr>
            <w:r w:rsidRPr="00471DB6">
              <w:t xml:space="preserve">Ambassador Extraordinary &amp; Plenipotentiary </w:t>
            </w:r>
          </w:p>
          <w:p w:rsidR="00471DB6" w:rsidRPr="00471DB6" w:rsidRDefault="00471DB6" w:rsidP="00471DB6">
            <w:pPr>
              <w:pStyle w:val="T15TextBody"/>
            </w:pPr>
            <w:r w:rsidRPr="00471DB6">
              <w:t xml:space="preserve">Embassy of the Republic of Kazakhstan </w:t>
            </w:r>
          </w:p>
          <w:p w:rsidR="00471DB6" w:rsidRPr="00471DB6" w:rsidRDefault="00471DB6" w:rsidP="00471DB6">
            <w:pPr>
              <w:pStyle w:val="T15TextBody"/>
            </w:pPr>
            <w:r w:rsidRPr="00471DB6">
              <w:t xml:space="preserve">125 Pall Mall </w:t>
            </w:r>
          </w:p>
          <w:p w:rsidR="00D564DF" w:rsidRDefault="00471DB6" w:rsidP="00471DB6">
            <w:pPr>
              <w:pStyle w:val="T15TextBody"/>
            </w:pPr>
            <w:r w:rsidRPr="00471DB6">
              <w:t>London SW1Y 5EA</w:t>
            </w:r>
          </w:p>
        </w:tc>
        <w:tc>
          <w:tcPr>
            <w:tcW w:w="4469" w:type="dxa"/>
          </w:tcPr>
          <w:p w:rsidR="00D564DF" w:rsidRDefault="00D564DF">
            <w:pPr>
              <w:pStyle w:val="T15ContactsDescriptors"/>
              <w:rPr>
                <w:rFonts w:cs="Segoe UI"/>
                <w:sz w:val="24"/>
              </w:rPr>
            </w:pPr>
            <w:bookmarkStart w:id="0" w:name="bmOurRefLine"/>
            <w:r>
              <w:rPr>
                <w:rFonts w:cs="Segoe UI"/>
              </w:rPr>
              <w:t xml:space="preserve">our ref </w:t>
            </w:r>
            <w:r>
              <w:rPr>
                <w:rFonts w:cs="Segoe UI"/>
              </w:rPr>
              <w:tab/>
            </w:r>
            <w:r w:rsidR="00471DB6">
              <w:rPr>
                <w:rStyle w:val="T15Contacts"/>
              </w:rPr>
              <w:t>cntuk/fog/ot</w:t>
            </w:r>
          </w:p>
          <w:bookmarkEnd w:id="0"/>
          <w:p w:rsidR="00D564DF" w:rsidRDefault="00D564DF">
            <w:pPr>
              <w:pStyle w:val="T15ContactsDescriptors"/>
              <w:rPr>
                <w:rFonts w:cs="Segoe UI"/>
                <w:sz w:val="24"/>
              </w:rPr>
            </w:pPr>
            <w:r>
              <w:rPr>
                <w:rFonts w:cs="Segoe UI"/>
              </w:rPr>
              <w:t xml:space="preserve">date: </w:t>
            </w:r>
            <w:r>
              <w:rPr>
                <w:rFonts w:cs="Segoe UI"/>
              </w:rPr>
              <w:tab/>
            </w:r>
            <w:r w:rsidR="00870021">
              <w:rPr>
                <w:rStyle w:val="T15Contacts"/>
              </w:rPr>
              <w:t>3 January 2017</w:t>
            </w:r>
          </w:p>
          <w:p w:rsidR="00D564DF" w:rsidRDefault="00D564DF">
            <w:pPr>
              <w:pStyle w:val="T15ContactsDescriptors"/>
              <w:rPr>
                <w:rFonts w:cs="Segoe UI"/>
                <w:sz w:val="24"/>
              </w:rPr>
            </w:pPr>
            <w:r>
              <w:rPr>
                <w:rFonts w:cs="Segoe UI"/>
              </w:rPr>
              <w:t xml:space="preserve">contact: </w:t>
            </w:r>
            <w:r>
              <w:rPr>
                <w:rFonts w:cs="Segoe UI"/>
              </w:rPr>
              <w:tab/>
            </w:r>
            <w:r w:rsidR="00870021">
              <w:rPr>
                <w:rStyle w:val="T15Contacts"/>
              </w:rPr>
              <w:t>Owen</w:t>
            </w:r>
            <w:bookmarkStart w:id="1" w:name="_GoBack"/>
            <w:bookmarkEnd w:id="1"/>
            <w:r w:rsidR="00870021">
              <w:rPr>
                <w:rStyle w:val="T15Contacts"/>
              </w:rPr>
              <w:t xml:space="preserve"> Tudor</w:t>
            </w:r>
          </w:p>
          <w:p w:rsidR="00D564DF" w:rsidRDefault="00D564DF">
            <w:pPr>
              <w:pStyle w:val="T15ContactsDescriptors"/>
              <w:rPr>
                <w:rFonts w:cs="Segoe UI"/>
                <w:sz w:val="24"/>
              </w:rPr>
            </w:pPr>
            <w:r>
              <w:rPr>
                <w:rFonts w:cs="Segoe UI"/>
              </w:rPr>
              <w:t>direct line:</w:t>
            </w:r>
            <w:r>
              <w:rPr>
                <w:rFonts w:cs="Segoe UI"/>
              </w:rPr>
              <w:tab/>
            </w:r>
            <w:r w:rsidR="00870021">
              <w:rPr>
                <w:rStyle w:val="T15Contacts"/>
              </w:rPr>
              <w:t>020 7467 1325</w:t>
            </w:r>
          </w:p>
          <w:p w:rsidR="00D564DF" w:rsidRDefault="00D564DF" w:rsidP="00870021">
            <w:pPr>
              <w:pStyle w:val="T15ContactsDescriptors"/>
            </w:pPr>
            <w:r>
              <w:rPr>
                <w:rFonts w:cs="Segoe UI"/>
              </w:rPr>
              <w:t xml:space="preserve">email: </w:t>
            </w:r>
            <w:r>
              <w:rPr>
                <w:rFonts w:cs="Segoe UI"/>
              </w:rPr>
              <w:tab/>
            </w:r>
            <w:hyperlink r:id="rId11" w:history="1">
              <w:r w:rsidR="00870021" w:rsidRPr="0059003C">
                <w:rPr>
                  <w:rStyle w:val="Hyperlink"/>
                  <w:sz w:val="24"/>
                </w:rPr>
                <w:t>otudor@tuc.org.uk</w:t>
              </w:r>
            </w:hyperlink>
            <w:r w:rsidR="00870021">
              <w:rPr>
                <w:rStyle w:val="T15Contacts"/>
              </w:rPr>
              <w:t xml:space="preserve"> </w:t>
            </w:r>
          </w:p>
        </w:tc>
      </w:tr>
    </w:tbl>
    <w:p w:rsidR="00D564DF" w:rsidRDefault="00D564DF">
      <w:pPr>
        <w:pStyle w:val="T15TextBody"/>
      </w:pPr>
      <w:bookmarkStart w:id="2" w:name="bmSalutation"/>
      <w:r>
        <w:t xml:space="preserve">Dear </w:t>
      </w:r>
      <w:bookmarkEnd w:id="2"/>
      <w:r w:rsidR="00870021">
        <w:t>Ambassador</w:t>
      </w:r>
    </w:p>
    <w:p w:rsidR="00D564DF" w:rsidRDefault="00D564DF">
      <w:pPr>
        <w:pStyle w:val="T15TextBody"/>
      </w:pPr>
    </w:p>
    <w:p w:rsidR="00D564DF" w:rsidRDefault="00870021">
      <w:pPr>
        <w:pStyle w:val="T15SubjectHeader"/>
        <w:rPr>
          <w:szCs w:val="24"/>
        </w:rPr>
      </w:pPr>
      <w:bookmarkStart w:id="3" w:name="bmInsertionPoint"/>
      <w:bookmarkEnd w:id="3"/>
      <w:r w:rsidRPr="00870021">
        <w:t>Confederation of Independent Trade Unions (CNTUK)</w:t>
      </w:r>
    </w:p>
    <w:p w:rsidR="00870021" w:rsidRDefault="00870021" w:rsidP="00870021">
      <w:pPr>
        <w:pStyle w:val="T15TextBody"/>
      </w:pPr>
      <w:r>
        <w:t>As the British affiliate of</w:t>
      </w:r>
      <w:r w:rsidRPr="00870021">
        <w:t xml:space="preserve"> the International Trade Union Confederation, </w:t>
      </w:r>
      <w:r>
        <w:t xml:space="preserve">the TUC, with our 51 trade unions and nearly 5.8 million members is concerned about </w:t>
      </w:r>
      <w:r w:rsidRPr="00870021">
        <w:t xml:space="preserve">the failure of your government to protect the right to freely establish trade unions. </w:t>
      </w:r>
    </w:p>
    <w:p w:rsidR="00870021" w:rsidRPr="00870021" w:rsidRDefault="00870021" w:rsidP="00870021">
      <w:pPr>
        <w:pStyle w:val="T15TextBody"/>
      </w:pPr>
    </w:p>
    <w:p w:rsidR="00870021" w:rsidRDefault="00870021" w:rsidP="00870021">
      <w:pPr>
        <w:pStyle w:val="T15TextBody"/>
      </w:pPr>
      <w:r w:rsidRPr="00870021">
        <w:t xml:space="preserve">After an extremely lengthy delay, the Confederation of Independent Trade Unions (CNTUK) was registered in February 2016. Trade unions at sectoral level faced similarly lengthy and burdensome registration procedures. Some unions received more than 25 rejections, none justified by law, before their request for registration was granted. At branch level, unions in various cities, such as Almaty, Aktau, Aqtobe, Uralsk, Kokshetau, and Taldykorgan were refused registration often due to simple grammatical errors in application documents. These examples demonstrate that the formalities prescribed in the legislation are applied to delay and discourage the formation and establishment of trade unions. </w:t>
      </w:r>
    </w:p>
    <w:p w:rsidR="00870021" w:rsidRPr="00870021" w:rsidRDefault="00870021" w:rsidP="00870021">
      <w:pPr>
        <w:pStyle w:val="T15TextBody"/>
      </w:pPr>
    </w:p>
    <w:p w:rsidR="00870021" w:rsidRDefault="00870021" w:rsidP="00870021">
      <w:pPr>
        <w:pStyle w:val="T15TextBody"/>
      </w:pPr>
      <w:r w:rsidRPr="00870021">
        <w:t xml:space="preserve">Most recently, the Ministry of Justice brought a legal challenge before the Economic Court calling for the revocation of the registration of not only the CNTUK but also its affiliated unions representing health and domestic workers. The revocation of their registration would make any trade union activity illegal for the organisations concerned leaving their members without representation. </w:t>
      </w:r>
    </w:p>
    <w:p w:rsidR="00870021" w:rsidRPr="00870021" w:rsidRDefault="00870021" w:rsidP="00870021">
      <w:pPr>
        <w:pStyle w:val="T15TextBody"/>
      </w:pPr>
    </w:p>
    <w:p w:rsidR="00870021" w:rsidRDefault="00870021" w:rsidP="00870021">
      <w:pPr>
        <w:pStyle w:val="T15TextBody"/>
      </w:pPr>
      <w:r w:rsidRPr="00870021">
        <w:t>Kazakhstan ratified ILO Convention No. 87 on Freedom of Association in December 2000. Article 2 of this Convention clearly lays out that workers shall have the ri</w:t>
      </w:r>
      <w:r>
        <w:t>ght to establish organisations ‘without previous authorisation’</w:t>
      </w:r>
      <w:r w:rsidRPr="00870021">
        <w:t xml:space="preserve">. Your government is therefore obliged to refrain from imposing formalities in a manner that could impair and undermine the free establishment of trade unions. </w:t>
      </w:r>
    </w:p>
    <w:p w:rsidR="00870021" w:rsidRPr="00870021" w:rsidRDefault="00870021" w:rsidP="00870021">
      <w:pPr>
        <w:pStyle w:val="T15TextBody"/>
      </w:pPr>
    </w:p>
    <w:p w:rsidR="00870021" w:rsidRDefault="00870021" w:rsidP="00870021">
      <w:pPr>
        <w:pStyle w:val="T15TextBody"/>
      </w:pPr>
      <w:r w:rsidRPr="00870021">
        <w:t xml:space="preserve">The failure of Kazakhstan to guarantee the right to freedom of association has been examined by the ILO Committee of Experts and by the Committee on the Application of Standards at the International Labour Conference in 2015 and 2016. Both committees have urged the government to </w:t>
      </w:r>
      <w:r w:rsidRPr="00870021">
        <w:lastRenderedPageBreak/>
        <w:t xml:space="preserve">amend sections 10 through 15 of the Act on Trade Unions regarding the registration of trade unions. </w:t>
      </w:r>
      <w:r>
        <w:t>Your</w:t>
      </w:r>
      <w:r w:rsidRPr="00870021">
        <w:t xml:space="preserve"> government has yet to act on this or any other observations or conclusions</w:t>
      </w:r>
      <w:r>
        <w:t xml:space="preserve"> although the ILO offered t</w:t>
      </w:r>
      <w:r w:rsidRPr="00870021">
        <w:t xml:space="preserve">echnical support </w:t>
      </w:r>
      <w:r>
        <w:t>which was formally</w:t>
      </w:r>
      <w:r w:rsidRPr="00870021">
        <w:t xml:space="preserve"> accepted by your government.  </w:t>
      </w:r>
    </w:p>
    <w:p w:rsidR="00870021" w:rsidRPr="00870021" w:rsidRDefault="00870021" w:rsidP="00870021">
      <w:pPr>
        <w:pStyle w:val="T15TextBody"/>
      </w:pPr>
    </w:p>
    <w:p w:rsidR="00870021" w:rsidRPr="00870021" w:rsidRDefault="00870021" w:rsidP="00870021">
      <w:pPr>
        <w:pStyle w:val="T15TextBody"/>
      </w:pPr>
      <w:r w:rsidRPr="00870021">
        <w:t xml:space="preserve">We are extremely disappointed to see the obstacles trade unions </w:t>
      </w:r>
      <w:r>
        <w:t xml:space="preserve">in Kazakhstan </w:t>
      </w:r>
      <w:r w:rsidRPr="00870021">
        <w:t xml:space="preserve">encounter in practice when exercising their rights under international law. We call on you to </w:t>
      </w:r>
      <w:r>
        <w:t xml:space="preserve">convey to your government our call for the immediate </w:t>
      </w:r>
      <w:r w:rsidRPr="00870021">
        <w:t>withdraw</w:t>
      </w:r>
      <w:r>
        <w:t>al of</w:t>
      </w:r>
      <w:r w:rsidRPr="00870021">
        <w:t xml:space="preserve"> the pending complain</w:t>
      </w:r>
      <w:r>
        <w:t>t before the Economic Court, and to urge them to ensure that</w:t>
      </w:r>
      <w:r w:rsidRPr="00870021">
        <w:t xml:space="preserve"> workers have the right to establish trade unions without previous authorisation. </w:t>
      </w:r>
    </w:p>
    <w:p w:rsidR="00D564DF" w:rsidRPr="00870021" w:rsidRDefault="00D564DF" w:rsidP="00870021">
      <w:pPr>
        <w:pStyle w:val="T15TextBody"/>
      </w:pPr>
    </w:p>
    <w:p w:rsidR="00D564DF" w:rsidRDefault="00D564DF">
      <w:pPr>
        <w:pStyle w:val="T15TextBody"/>
      </w:pPr>
      <w:r>
        <w:t>Yours sincerely</w:t>
      </w:r>
    </w:p>
    <w:p w:rsidR="00D564DF" w:rsidRDefault="00D564DF">
      <w:pPr>
        <w:pStyle w:val="T15TextBody"/>
      </w:pPr>
    </w:p>
    <w:p w:rsidR="00D564DF" w:rsidRDefault="00870021">
      <w:pPr>
        <w:pStyle w:val="T15TextBody"/>
        <w:rPr>
          <w:b/>
        </w:rPr>
      </w:pPr>
      <w:r>
        <w:rPr>
          <w:b/>
        </w:rPr>
        <w:t>FRANCES O’GRADY</w:t>
      </w:r>
    </w:p>
    <w:p w:rsidR="00870021" w:rsidRDefault="00870021">
      <w:pPr>
        <w:pStyle w:val="T15TextBody"/>
      </w:pPr>
    </w:p>
    <w:p w:rsidR="00D564DF" w:rsidRDefault="00870021">
      <w:pPr>
        <w:pStyle w:val="T15TextBody"/>
      </w:pPr>
      <w:r>
        <w:t>General Secretary</w:t>
      </w:r>
    </w:p>
    <w:p w:rsidR="00D564DF" w:rsidRDefault="00D564DF">
      <w:pPr>
        <w:pStyle w:val="T15TextBody"/>
      </w:pPr>
    </w:p>
    <w:sectPr w:rsidR="00D564D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21" w:rsidRDefault="00870021">
      <w:r>
        <w:separator/>
      </w:r>
    </w:p>
  </w:endnote>
  <w:endnote w:type="continuationSeparator" w:id="0">
    <w:p w:rsidR="00870021" w:rsidRDefault="008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framePr w:wrap="around" w:vAnchor="text" w:hAnchor="margin" w:xAlign="right" w:y="1"/>
    </w:pPr>
    <w:r>
      <w:fldChar w:fldCharType="begin"/>
    </w:r>
    <w:r>
      <w:instrText xml:space="preserve">PAGE  </w:instrText>
    </w:r>
    <w:r>
      <w:fldChar w:fldCharType="separate"/>
    </w:r>
    <w:r>
      <w:rPr>
        <w:noProof/>
      </w:rPr>
      <w:t>1</w:t>
    </w:r>
    <w:r>
      <w:fldChar w:fldCharType="end"/>
    </w:r>
  </w:p>
  <w:p w:rsidR="00D564DF" w:rsidRDefault="00D564D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tabs>
        <w:tab w:val="right" w:pos="9720"/>
      </w:tabs>
      <w:ind w:right="28"/>
    </w:pPr>
  </w:p>
  <w:p w:rsidR="00D564DF" w:rsidRDefault="00D564DF">
    <w:pPr>
      <w:tabs>
        <w:tab w:val="right" w:pos="9720"/>
      </w:tabs>
      <w:ind w:right="28"/>
    </w:pPr>
  </w:p>
  <w:p w:rsidR="00D564DF" w:rsidRDefault="00D564DF">
    <w:pPr>
      <w:tabs>
        <w:tab w:val="right" w:pos="9720"/>
      </w:tabs>
      <w:ind w:right="28"/>
      <w:rPr>
        <w:rFonts w:ascii="Frutiger 45" w:hAnsi="Frutiger 45"/>
        <w:sz w:val="18"/>
      </w:rPr>
    </w:pPr>
    <w:r>
      <w:tab/>
    </w:r>
    <w:r>
      <w:rPr>
        <w:rFonts w:ascii="Frutiger 45" w:hAnsi="Frutiger 45"/>
        <w:sz w:val="18"/>
      </w:rPr>
      <w:fldChar w:fldCharType="begin"/>
    </w:r>
    <w:r>
      <w:rPr>
        <w:rFonts w:ascii="Frutiger 45" w:hAnsi="Frutiger 45"/>
        <w:sz w:val="18"/>
      </w:rPr>
      <w:instrText xml:space="preserve"> PAGE </w:instrText>
    </w:r>
    <w:r>
      <w:rPr>
        <w:rFonts w:ascii="Frutiger 45" w:hAnsi="Frutiger 45"/>
        <w:sz w:val="18"/>
      </w:rPr>
      <w:fldChar w:fldCharType="separate"/>
    </w:r>
    <w:r w:rsidR="00471DB6">
      <w:rPr>
        <w:rFonts w:ascii="Frutiger 45" w:hAnsi="Frutiger 45"/>
        <w:noProof/>
        <w:sz w:val="18"/>
      </w:rPr>
      <w:t>2</w:t>
    </w:r>
    <w:r>
      <w:rPr>
        <w:rFonts w:ascii="Frutiger 45" w:hAnsi="Frutiger 4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471DB6">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0" t="0" r="635" b="635"/>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4DF" w:rsidRDefault="00471DB6">
    <w:r>
      <w:rPr>
        <w:noProof/>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85" cy="668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21" w:rsidRDefault="00870021">
      <w:r>
        <w:separator/>
      </w:r>
    </w:p>
  </w:footnote>
  <w:footnote w:type="continuationSeparator" w:id="0">
    <w:p w:rsidR="00870021" w:rsidRDefault="0087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471DB6">
    <w:r>
      <w:rPr>
        <w:noProof/>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0" t="0" r="0" b="381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471DB6">
    <w:r>
      <w:rPr>
        <w:noProof/>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0" t="0" r="8890" b="9525"/>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BE12D2"/>
    <w:lvl w:ilvl="0">
      <w:start w:val="1"/>
      <w:numFmt w:val="decimal"/>
      <w:pStyle w:val="Nor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pStyle w:val="Nor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pStyle w:val="Nor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pStyle w:val="Normal"/>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pStyle w:val="Heading2"/>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pStyle w:val="Heading8"/>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21"/>
    <w:rsid w:val="00006D61"/>
    <w:rsid w:val="002A3635"/>
    <w:rsid w:val="00471DB6"/>
    <w:rsid w:val="00870021"/>
    <w:rsid w:val="00986E91"/>
    <w:rsid w:val="009E1E8D"/>
    <w:rsid w:val="00D5418E"/>
    <w:rsid w:val="00D564DF"/>
    <w:rsid w:val="00D86A73"/>
    <w:rsid w:val="00DC1219"/>
    <w:rsid w:val="00E42749"/>
    <w:rsid w:val="00E9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BE5BA7F1-D75C-4EBF-B307-342C431B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pPr>
      <w:spacing w:before="240" w:after="60"/>
      <w:outlineLvl w:val="4"/>
    </w:pPr>
    <w:rPr>
      <w:rFonts w:ascii="Sabon" w:hAnsi="Sabon"/>
      <w:b/>
      <w:bCs/>
      <w:i/>
      <w:iCs/>
      <w:sz w:val="26"/>
      <w:szCs w:val="26"/>
    </w:rPr>
  </w:style>
  <w:style w:type="paragraph" w:styleId="Heading6">
    <w:name w:val="heading 6"/>
    <w:basedOn w:val="Normal"/>
    <w:next w:val="Normal"/>
    <w:semiHidden/>
    <w:qFormat/>
    <w:pPr>
      <w:spacing w:before="240" w:after="60"/>
      <w:outlineLvl w:val="5"/>
    </w:pPr>
    <w:rPr>
      <w:rFonts w:ascii="Times New Roman" w:hAnsi="Times New Roman"/>
      <w:b/>
      <w:bCs/>
      <w:sz w:val="22"/>
      <w:szCs w:val="22"/>
    </w:rPr>
  </w:style>
  <w:style w:type="paragraph" w:styleId="Heading7">
    <w:name w:val="heading 7"/>
    <w:basedOn w:val="Normal"/>
    <w:next w:val="Normal"/>
    <w:semiHidden/>
    <w:qFormat/>
    <w:pPr>
      <w:spacing w:before="240" w:after="60"/>
      <w:outlineLvl w:val="6"/>
    </w:pPr>
    <w:rPr>
      <w:rFonts w:ascii="Times New Roman" w:hAnsi="Times New Roman"/>
      <w:szCs w:val="24"/>
    </w:rPr>
  </w:style>
  <w:style w:type="paragraph" w:styleId="Heading8">
    <w:name w:val="heading 8"/>
    <w:basedOn w:val="Normal"/>
    <w:next w:val="Normal"/>
    <w:semiHidden/>
    <w:qFormat/>
    <w:pPr>
      <w:spacing w:before="240" w:after="60"/>
      <w:outlineLvl w:val="7"/>
    </w:pPr>
    <w:rPr>
      <w:rFonts w:ascii="Times New Roman" w:hAnsi="Times New Roman"/>
      <w:i/>
      <w:iCs/>
      <w:szCs w:val="24"/>
    </w:rPr>
  </w:style>
  <w:style w:type="paragraph" w:styleId="Heading9">
    <w:name w:val="heading 9"/>
    <w:basedOn w:val="Normal"/>
    <w:next w:val="Normal"/>
    <w:semiHidden/>
    <w:qFormat/>
    <w:p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T15TextBody">
    <w:name w:val="T15TextBody"/>
    <w:basedOn w:val="Normal"/>
    <w:qFormat/>
    <w:pPr>
      <w:widowControl/>
    </w:pPr>
    <w:rPr>
      <w:snapToGrid/>
    </w:rPr>
  </w:style>
  <w:style w:type="paragraph" w:customStyle="1" w:styleId="T15SubjectHeader">
    <w:name w:val="T15SubjectHeader"/>
    <w:basedOn w:val="T15TextBody"/>
    <w:next w:val="T15TextBody"/>
    <w:qFormat/>
    <w:pPr>
      <w:keepNext/>
      <w:spacing w:after="360"/>
    </w:pPr>
    <w:rPr>
      <w:rFonts w:ascii="Segoe UI" w:hAnsi="Segoe UI" w:cs="Segoe UI"/>
      <w:b/>
    </w:rPr>
  </w:style>
  <w:style w:type="paragraph" w:customStyle="1" w:styleId="T15ContactsDescriptors">
    <w:name w:val="T15ContactsDescriptors"/>
    <w:basedOn w:val="T15TextBody"/>
    <w:pPr>
      <w:tabs>
        <w:tab w:val="left" w:pos="900"/>
      </w:tabs>
      <w:spacing w:line="320" w:lineRule="exact"/>
    </w:pPr>
    <w:rPr>
      <w:sz w:val="16"/>
    </w:rPr>
  </w:style>
  <w:style w:type="character" w:customStyle="1" w:styleId="T15Contacts">
    <w:name w:val="T15Contacts"/>
    <w:rPr>
      <w:rFonts w:ascii="Minion Pro" w:hAnsi="Minion Pro"/>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15Footer">
    <w:name w:val="T15Footer"/>
    <w:basedOn w:val="T15TextBody"/>
    <w:qFormat/>
    <w:rPr>
      <w:rFonts w:cs="Segoe UI"/>
      <w:noProof/>
      <w:color w:val="333399"/>
      <w:sz w:val="16"/>
    </w:rPr>
  </w:style>
  <w:style w:type="paragraph" w:styleId="Header">
    <w:name w:val="header"/>
    <w:basedOn w:val="Normal"/>
    <w:semiHidden/>
    <w:pPr>
      <w:tabs>
        <w:tab w:val="center" w:pos="4153"/>
        <w:tab w:val="right" w:pos="8306"/>
      </w:tabs>
    </w:pPr>
  </w:style>
  <w:style w:type="paragraph" w:customStyle="1" w:styleId="Default">
    <w:name w:val="Default"/>
    <w:rsid w:val="00471D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udor@tu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c.org.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rporate%202015-6\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T1 E-Letter and Letter FINAL</Template>
  <TotalTime>14</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Tudor</dc:creator>
  <cp:keywords/>
  <cp:lastModifiedBy>Owen Tudor</cp:lastModifiedBy>
  <cp:revision>1</cp:revision>
  <cp:lastPrinted>2012-12-19T13:20:00Z</cp:lastPrinted>
  <dcterms:created xsi:type="dcterms:W3CDTF">2016-12-30T22:28:00Z</dcterms:created>
  <dcterms:modified xsi:type="dcterms:W3CDTF">2016-12-30T22:42:00Z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