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E2" w:rsidRDefault="00132E74">
      <w:pPr>
        <w:pStyle w:val="T8Title1"/>
      </w:pPr>
      <w:r>
        <w:rPr>
          <w:noProof/>
          <w:snapToGrid/>
          <w:sz w:val="20"/>
          <w:lang w:eastAsia="en-GB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3450590</wp:posOffset>
            </wp:positionH>
            <wp:positionV relativeFrom="page">
              <wp:posOffset>431800</wp:posOffset>
            </wp:positionV>
            <wp:extent cx="1638300" cy="895350"/>
            <wp:effectExtent l="19050" t="0" r="0" b="0"/>
            <wp:wrapNone/>
            <wp:docPr id="11" name="Picture 11" descr="TUC logo">
              <a:hlinkClick xmlns:a="http://schemas.openxmlformats.org/drawingml/2006/main" r:id="rId8" tooltip="Link to: TUC home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UC logo">
                      <a:hlinkClick r:id="rId8" tooltip="Link to: TUC home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A1C">
        <w:rPr>
          <w:noProof/>
          <w:snapToGrid/>
        </w:rPr>
        <w:pict>
          <v:line id="_x0000_s2056" style="position:absolute;z-index:251656704;mso-position-horizontal-relative:text;mso-position-vertical-relative:page" from="-.75pt,149.7pt" to="226pt,149.7pt" strokeweight="4.5pt">
            <w10:wrap anchory="page"/>
            <w10:anchorlock/>
          </v:line>
        </w:pict>
      </w:r>
      <w:r w:rsidR="003C7DE2">
        <w:tab/>
      </w:r>
      <w:bookmarkStart w:id="0" w:name="bmTitleLine1"/>
      <w:r>
        <w:t>Posted Workers Directive</w:t>
      </w:r>
      <w:bookmarkEnd w:id="0"/>
    </w:p>
    <w:p w:rsidR="003C7DE2" w:rsidRDefault="00501B2D">
      <w:pPr>
        <w:pStyle w:val="T8Title2"/>
      </w:pPr>
      <w:r>
        <w:t>Briefing for MEPs</w:t>
      </w:r>
    </w:p>
    <w:p w:rsidR="003C7DE2" w:rsidRDefault="00501B2D">
      <w:pPr>
        <w:pStyle w:val="T8Title2"/>
      </w:pPr>
      <w:bookmarkStart w:id="1" w:name="bmTitleLine3"/>
      <w:r>
        <w:t>March</w:t>
      </w:r>
      <w:r w:rsidR="00132E74">
        <w:t xml:space="preserve"> 2014</w:t>
      </w:r>
      <w:bookmarkEnd w:id="1"/>
    </w:p>
    <w:p w:rsidR="003C7DE2" w:rsidRDefault="00444A1C">
      <w:pPr>
        <w:pStyle w:val="T8MainHeadng"/>
      </w:pPr>
      <w:r w:rsidRPr="00444A1C">
        <w:pict>
          <v:line id="_x0000_s2058" style="position:absolute;z-index:251657728" from="0,3.1pt" to="226.75pt,3.1pt" o:allowincell="f"/>
        </w:pict>
      </w:r>
      <w:r w:rsidR="003C7DE2">
        <w:tab/>
      </w:r>
      <w:bookmarkStart w:id="2" w:name="bmMainHeading"/>
      <w:r w:rsidR="00132E74">
        <w:t>Posted Workers Directive:  proposals for reform in the EU and UK</w:t>
      </w:r>
      <w:bookmarkEnd w:id="2"/>
    </w:p>
    <w:p w:rsidR="00132E74" w:rsidRPr="003C7DE2" w:rsidRDefault="003C7DE2" w:rsidP="003C7DE2">
      <w:pPr>
        <w:pStyle w:val="T8Level1Heading"/>
      </w:pPr>
      <w:bookmarkStart w:id="3" w:name="bmBody"/>
      <w:bookmarkEnd w:id="3"/>
      <w:r w:rsidRPr="003C7DE2">
        <w:t>Introduction</w:t>
      </w:r>
    </w:p>
    <w:p w:rsidR="00430FE4" w:rsidRDefault="003C7DE2" w:rsidP="003C7DE2">
      <w:pPr>
        <w:pStyle w:val="T8TextBody"/>
      </w:pPr>
      <w:r>
        <w:t>In 1996</w:t>
      </w:r>
      <w:r w:rsidR="00430FE4">
        <w:t>,</w:t>
      </w:r>
      <w:r>
        <w:t xml:space="preserve"> the EU adopted the Posted Workers Directive. The purpose of this Directive was to </w:t>
      </w:r>
      <w:r w:rsidR="0018347B">
        <w:t xml:space="preserve">improve the protection for </w:t>
      </w:r>
      <w:r>
        <w:t xml:space="preserve">migrant workers, who </w:t>
      </w:r>
      <w:r w:rsidR="00430FE4">
        <w:t xml:space="preserve">are </w:t>
      </w:r>
      <w:r>
        <w:t>posted temporarily to work in another member state</w:t>
      </w:r>
      <w:r w:rsidR="0018347B">
        <w:t xml:space="preserve">. Due to the temporary nature of their postings, posted workers do not qualify for full equal treatment rights under the </w:t>
      </w:r>
      <w:r w:rsidR="00430FE4">
        <w:t xml:space="preserve">EU </w:t>
      </w:r>
      <w:r w:rsidR="0018347B">
        <w:t xml:space="preserve">free movement principles.  </w:t>
      </w:r>
    </w:p>
    <w:p w:rsidR="0018347B" w:rsidRDefault="0018347B" w:rsidP="003C7DE2">
      <w:pPr>
        <w:pStyle w:val="T8TextBody"/>
      </w:pPr>
      <w:r>
        <w:t>The Posting of Workers Directive provides posted workers with</w:t>
      </w:r>
      <w:r w:rsidR="003C7DE2">
        <w:t xml:space="preserve"> a minimum core of rights including rights to be paid minimum rates of pay, working time entitlements </w:t>
      </w:r>
      <w:r w:rsidR="00430FE4">
        <w:t xml:space="preserve">health and safety </w:t>
      </w:r>
      <w:r w:rsidR="003C7DE2">
        <w:t xml:space="preserve">and </w:t>
      </w:r>
      <w:r w:rsidR="00430FE4">
        <w:t xml:space="preserve">anti-discrimination </w:t>
      </w:r>
      <w:r w:rsidR="003C7DE2">
        <w:t>rights (see Art</w:t>
      </w:r>
      <w:r w:rsidR="00430FE4">
        <w:t>icle</w:t>
      </w:r>
      <w:r w:rsidR="003C7DE2">
        <w:t xml:space="preserve"> 3 of the </w:t>
      </w:r>
      <w:r w:rsidR="00430FE4">
        <w:t xml:space="preserve">1996 </w:t>
      </w:r>
      <w:r w:rsidR="003C7DE2">
        <w:t xml:space="preserve">Directive).  </w:t>
      </w:r>
      <w:r>
        <w:t xml:space="preserve">The Directive was designed to prevent social dumping and </w:t>
      </w:r>
      <w:r w:rsidR="00430FE4">
        <w:t xml:space="preserve">ensure that </w:t>
      </w:r>
      <w:r>
        <w:t>employers were not able to use posting arrangements to under-cut national employment standards and pay rates.</w:t>
      </w:r>
    </w:p>
    <w:p w:rsidR="0018347B" w:rsidRDefault="003C7DE2" w:rsidP="003C7DE2">
      <w:pPr>
        <w:pStyle w:val="T8TextBody"/>
      </w:pPr>
      <w:r>
        <w:t xml:space="preserve">Decisions of the European Court of Justice in the </w:t>
      </w:r>
      <w:r w:rsidRPr="0018347B">
        <w:rPr>
          <w:i/>
        </w:rPr>
        <w:t>Viking</w:t>
      </w:r>
      <w:r>
        <w:t xml:space="preserve"> and </w:t>
      </w:r>
      <w:r w:rsidRPr="0018347B">
        <w:rPr>
          <w:i/>
        </w:rPr>
        <w:t>Laval</w:t>
      </w:r>
      <w:r>
        <w:t xml:space="preserve"> line of cases have seriously limited the level of protection afforded by the 1996 Directive.  In particular</w:t>
      </w:r>
      <w:r w:rsidR="0018347B">
        <w:t>,</w:t>
      </w:r>
      <w:r>
        <w:t xml:space="preserve"> these judgements restricted the ability of governments to introduce national legislation</w:t>
      </w:r>
      <w:r w:rsidR="00430FE4">
        <w:t>,</w:t>
      </w:r>
      <w:r w:rsidR="0018347B">
        <w:t xml:space="preserve"> </w:t>
      </w:r>
      <w:r w:rsidR="00EF0A76">
        <w:t xml:space="preserve">or </w:t>
      </w:r>
      <w:r w:rsidR="00430FE4">
        <w:t xml:space="preserve">for </w:t>
      </w:r>
      <w:r w:rsidR="00EF0A76">
        <w:t>trade unions to negotiate collective agreements</w:t>
      </w:r>
      <w:r w:rsidR="00430FE4">
        <w:t>,</w:t>
      </w:r>
      <w:r w:rsidR="00EF0A76">
        <w:t xml:space="preserve"> </w:t>
      </w:r>
      <w:r w:rsidR="0018347B">
        <w:t>to increase the level of protection for posted workers</w:t>
      </w:r>
      <w:r w:rsidR="00EE7404">
        <w:t>, which exceed the core rights contained in Article 3(1)</w:t>
      </w:r>
      <w:r w:rsidR="0018347B">
        <w:t>.  The judg</w:t>
      </w:r>
      <w:r w:rsidR="00EE7404">
        <w:t>e</w:t>
      </w:r>
      <w:r w:rsidR="00430FE4">
        <w:t>ments</w:t>
      </w:r>
      <w:r w:rsidR="00EE7404">
        <w:t xml:space="preserve"> </w:t>
      </w:r>
      <w:r w:rsidR="0018347B">
        <w:t xml:space="preserve">also </w:t>
      </w:r>
      <w:r w:rsidR="00EE7404">
        <w:t xml:space="preserve">raised questions whether </w:t>
      </w:r>
      <w:r w:rsidR="0018347B">
        <w:t>national autho</w:t>
      </w:r>
      <w:r w:rsidR="00EE7404">
        <w:t>rities can</w:t>
      </w:r>
      <w:r w:rsidR="0018347B">
        <w:t xml:space="preserve"> always require foreign contractors to comply </w:t>
      </w:r>
      <w:r w:rsidR="00EE7404">
        <w:t xml:space="preserve">with </w:t>
      </w:r>
      <w:r w:rsidR="0018347B">
        <w:t xml:space="preserve">social standards or collectively agreed terms and conditions </w:t>
      </w:r>
      <w:r w:rsidR="00EE7404">
        <w:t xml:space="preserve">set out </w:t>
      </w:r>
      <w:r w:rsidR="0018347B">
        <w:t>in a public procurement contracts.  For example, some employers seek to rely on these judgements to argue it is not possible for a government or local authority to require contractors to pay the living wage.  The TUC disagrees with this restrictive interpretation.</w:t>
      </w:r>
      <w:r w:rsidR="00EF0A76">
        <w:t xml:space="preserve">  </w:t>
      </w:r>
    </w:p>
    <w:p w:rsidR="003C7DE2" w:rsidRDefault="003C7DE2" w:rsidP="003C7DE2">
      <w:pPr>
        <w:pStyle w:val="T8TextBody"/>
      </w:pPr>
      <w:r>
        <w:t>These judgements have proved politically controversial and have created</w:t>
      </w:r>
      <w:r w:rsidR="00EE7404">
        <w:t xml:space="preserve"> significant</w:t>
      </w:r>
      <w:r>
        <w:t xml:space="preserve"> industrial </w:t>
      </w:r>
      <w:r w:rsidR="00EE7404">
        <w:t xml:space="preserve">tensions </w:t>
      </w:r>
      <w:r>
        <w:t>across the EU.  As a result of pressure from trade unions and some national governments</w:t>
      </w:r>
      <w:r w:rsidR="00430FE4">
        <w:t>,</w:t>
      </w:r>
      <w:r>
        <w:t xml:space="preserve"> the Commission decided to introduce proposals for a Posted Worker Enforcement Directive.</w:t>
      </w:r>
    </w:p>
    <w:p w:rsidR="003F6B1F" w:rsidRPr="003F6B1F" w:rsidRDefault="003F6B1F" w:rsidP="003F6B1F">
      <w:pPr>
        <w:pStyle w:val="T8TextBody"/>
      </w:pPr>
      <w:r w:rsidRPr="003F6B1F">
        <w:t xml:space="preserve">Whilst the Posted Workers Enforcement Directive does not represent an adequate substitute for fuller reforms, the TUC believed that the proposed Directive had the </w:t>
      </w:r>
      <w:r w:rsidRPr="003F6B1F">
        <w:lastRenderedPageBreak/>
        <w:t xml:space="preserve">potential to increase compliance with the 1996 Directive and to improve working conditions for posted workers.  </w:t>
      </w:r>
    </w:p>
    <w:p w:rsidR="003C7DE2" w:rsidRDefault="003C7DE2" w:rsidP="003C7DE2">
      <w:pPr>
        <w:pStyle w:val="T8Level1Heading"/>
      </w:pPr>
      <w:r>
        <w:t>Posted Workers Enforcement Directive</w:t>
      </w:r>
    </w:p>
    <w:p w:rsidR="003C7DE2" w:rsidRPr="003C7DE2" w:rsidRDefault="003C7DE2" w:rsidP="003C7DE2">
      <w:pPr>
        <w:pStyle w:val="T8TextBody"/>
      </w:pPr>
      <w:r>
        <w:t xml:space="preserve">The aim of the </w:t>
      </w:r>
      <w:r w:rsidR="000A5CB8">
        <w:t xml:space="preserve">draft Posted Workers Enforcement </w:t>
      </w:r>
      <w:r>
        <w:t xml:space="preserve">Directive is to ensure that there is consistent application and more effective enforcement of posted workers rights contained in the 1996 Posting of Workers Directive.   </w:t>
      </w:r>
      <w:r w:rsidR="000A5CB8">
        <w:t xml:space="preserve">The </w:t>
      </w:r>
      <w:r w:rsidR="00430FE4">
        <w:t xml:space="preserve">draft Enforcement </w:t>
      </w:r>
      <w:r w:rsidR="000A5CB8">
        <w:t>Directive is very limited in scope and principally focuses on requiring national enforcement agencies to co-operate and exchange information to ensure that posted workers’ rights are enforced.</w:t>
      </w:r>
    </w:p>
    <w:p w:rsidR="003F6B1F" w:rsidRDefault="003C7DE2" w:rsidP="003F6B1F">
      <w:pPr>
        <w:pStyle w:val="T8TextBody"/>
      </w:pPr>
      <w:r w:rsidRPr="003F6B1F">
        <w:t xml:space="preserve">The </w:t>
      </w:r>
      <w:r w:rsidR="00430FE4" w:rsidRPr="003F6B1F">
        <w:t xml:space="preserve">draft Directive </w:t>
      </w:r>
      <w:r w:rsidR="001958F7" w:rsidRPr="003F6B1F">
        <w:t>has recently been</w:t>
      </w:r>
      <w:r w:rsidRPr="003F6B1F">
        <w:t xml:space="preserve"> the subject of</w:t>
      </w:r>
      <w:r w:rsidR="000A5CB8" w:rsidRPr="003F6B1F">
        <w:t xml:space="preserve"> </w:t>
      </w:r>
      <w:r w:rsidRPr="003F6B1F">
        <w:t xml:space="preserve">negotiations between the EU Parliament, Council and Commission. </w:t>
      </w:r>
      <w:r w:rsidR="003F6B1F" w:rsidRPr="003F6B1F">
        <w:t xml:space="preserve">The TUC is concerned that the proposed Directive has been rushed through the recent </w:t>
      </w:r>
      <w:proofErr w:type="spellStart"/>
      <w:r w:rsidR="003F6B1F" w:rsidRPr="003F6B1F">
        <w:t>trialogue</w:t>
      </w:r>
      <w:proofErr w:type="spellEnd"/>
      <w:r w:rsidR="003F6B1F" w:rsidRPr="003F6B1F">
        <w:t xml:space="preserve"> negotiations and that the outcomes will not provide effective protection for vulnerable workers.  </w:t>
      </w:r>
    </w:p>
    <w:p w:rsidR="003F6B1F" w:rsidRPr="003F6B1F" w:rsidRDefault="003F6B1F" w:rsidP="003F6B1F">
      <w:pPr>
        <w:pStyle w:val="T8TextBody"/>
      </w:pPr>
      <w:r w:rsidRPr="003F6B1F">
        <w:t>There are three principal problems with the proposed text.</w:t>
      </w:r>
    </w:p>
    <w:p w:rsidR="000A5CB8" w:rsidRDefault="000A5CB8" w:rsidP="000A5CB8">
      <w:pPr>
        <w:pStyle w:val="T8Level2Heading"/>
      </w:pPr>
      <w:r w:rsidRPr="000A5CB8">
        <w:t>Definition of what amounts to a genuine posting (Article 3)</w:t>
      </w:r>
    </w:p>
    <w:p w:rsidR="00430FE4" w:rsidRDefault="000A5CB8" w:rsidP="0029520F">
      <w:pPr>
        <w:pStyle w:val="T8TextBody"/>
      </w:pPr>
      <w:r>
        <w:t>In recent years</w:t>
      </w:r>
      <w:r w:rsidR="00430FE4">
        <w:t>,</w:t>
      </w:r>
      <w:r>
        <w:t xml:space="preserve"> there has been growing evidence </w:t>
      </w:r>
      <w:r w:rsidR="00430FE4">
        <w:t xml:space="preserve">of </w:t>
      </w:r>
      <w:r>
        <w:t xml:space="preserve">companies </w:t>
      </w:r>
      <w:r w:rsidR="00430FE4">
        <w:t>developing</w:t>
      </w:r>
      <w:r>
        <w:t xml:space="preserve"> </w:t>
      </w:r>
      <w:r w:rsidR="00430FE4">
        <w:t>‘</w:t>
      </w:r>
      <w:r>
        <w:t>sham</w:t>
      </w:r>
      <w:r w:rsidR="00430FE4">
        <w:t>’</w:t>
      </w:r>
      <w:r>
        <w:t xml:space="preserve"> arrangements to restrict the rights of posted workers, as a means of reducing costs.  These include the use of ‘letter box companies’ in low paying economies and </w:t>
      </w:r>
      <w:r w:rsidR="00430FE4">
        <w:t xml:space="preserve">the use of </w:t>
      </w:r>
      <w:r>
        <w:t>bogus self-employment</w:t>
      </w:r>
      <w:r w:rsidR="00430FE4">
        <w:t xml:space="preserve"> arrangements</w:t>
      </w:r>
      <w:r>
        <w:t xml:space="preserve">. </w:t>
      </w:r>
    </w:p>
    <w:p w:rsidR="000A5CB8" w:rsidRDefault="000A5CB8" w:rsidP="0029520F">
      <w:pPr>
        <w:pStyle w:val="T8TextBody"/>
      </w:pPr>
      <w:r>
        <w:t xml:space="preserve">The </w:t>
      </w:r>
      <w:r w:rsidR="00430FE4">
        <w:t xml:space="preserve">draft </w:t>
      </w:r>
      <w:r>
        <w:t xml:space="preserve">Directive seeks to tighten the definition of </w:t>
      </w:r>
      <w:r w:rsidR="00430FE4">
        <w:t xml:space="preserve">a </w:t>
      </w:r>
      <w:r>
        <w:t>genuine posting.  The TUC does not believe that the proposed text go</w:t>
      </w:r>
      <w:r w:rsidR="00430FE4">
        <w:t>es</w:t>
      </w:r>
      <w:r>
        <w:t xml:space="preserve"> far enough.  </w:t>
      </w:r>
      <w:r w:rsidR="00430FE4">
        <w:t>In our opinion</w:t>
      </w:r>
      <w:r w:rsidR="0029520F">
        <w:t xml:space="preserve">, the </w:t>
      </w:r>
      <w:r w:rsidR="005B65F4">
        <w:t xml:space="preserve">Directive should specify than an individual’s employment status (i.e. whether they are self-employed or a worker) should be determined by looking at the reality of the employment relationship rather than only focusing on contractual terms which could be fictitious or a ‘sham’. </w:t>
      </w:r>
    </w:p>
    <w:p w:rsidR="003A690A" w:rsidRPr="003A690A" w:rsidRDefault="003A690A" w:rsidP="003A690A">
      <w:pPr>
        <w:pStyle w:val="T8TextBody"/>
      </w:pPr>
      <w:r w:rsidRPr="003A690A">
        <w:t xml:space="preserve">Following the </w:t>
      </w:r>
      <w:proofErr w:type="spellStart"/>
      <w:r w:rsidRPr="003A690A">
        <w:t>trialogue</w:t>
      </w:r>
      <w:proofErr w:type="spellEnd"/>
      <w:r w:rsidRPr="003A690A">
        <w:t xml:space="preserve"> negotiations,</w:t>
      </w:r>
      <w:r w:rsidR="008A5969" w:rsidRPr="003A690A">
        <w:t xml:space="preserve"> text relating to the combating of bogus self-employment has been included in Recital 5b</w:t>
      </w:r>
      <w:r w:rsidRPr="003A690A">
        <w:t>.  However,</w:t>
      </w:r>
      <w:r w:rsidR="008A5969" w:rsidRPr="003A690A">
        <w:t xml:space="preserve"> this will not be legally binding on national governments</w:t>
      </w:r>
      <w:r>
        <w:t xml:space="preserve"> and therefore will have </w:t>
      </w:r>
      <w:r w:rsidR="00EF1098">
        <w:t xml:space="preserve">very </w:t>
      </w:r>
      <w:r>
        <w:t>limited effect</w:t>
      </w:r>
      <w:r w:rsidR="008A5969" w:rsidRPr="003A690A">
        <w:t xml:space="preserve">.  </w:t>
      </w:r>
      <w:r w:rsidRPr="003A690A">
        <w:t xml:space="preserve">In the UK, the problem of false self-employment is now prevalent amongst migrant and posted workers in the construction sector.  The </w:t>
      </w:r>
      <w:r w:rsidR="00EF1098">
        <w:t xml:space="preserve">TUC is therefore concerned that </w:t>
      </w:r>
      <w:r w:rsidRPr="003A690A">
        <w:t xml:space="preserve">proposed </w:t>
      </w:r>
      <w:r w:rsidR="00EF1098">
        <w:t xml:space="preserve">text </w:t>
      </w:r>
      <w:r w:rsidRPr="003A690A">
        <w:t>will not address this issue or deter the spread of such practices to other parts of the UK labour market.</w:t>
      </w:r>
    </w:p>
    <w:p w:rsidR="00132E74" w:rsidRPr="003A690A" w:rsidRDefault="00717C14" w:rsidP="003A690A">
      <w:pPr>
        <w:pStyle w:val="T8Level2Heading"/>
      </w:pPr>
      <w:r w:rsidRPr="003A690A">
        <w:t>Control measures (Article 9)</w:t>
      </w:r>
    </w:p>
    <w:p w:rsidR="00B540B0" w:rsidRDefault="00B540B0" w:rsidP="00B540B0">
      <w:pPr>
        <w:pStyle w:val="T8TextBody"/>
      </w:pPr>
      <w:r>
        <w:t xml:space="preserve">The TUC believes that member states should be </w:t>
      </w:r>
      <w:r w:rsidR="00EC2019">
        <w:t xml:space="preserve">have the ability to </w:t>
      </w:r>
      <w:r>
        <w:t xml:space="preserve">decide the level of control measures used in their own country to monitor the flow and working conditions of posted workers. </w:t>
      </w:r>
      <w:r w:rsidR="00EC2019">
        <w:t xml:space="preserve">In particular it is important that governments are able to adopt additional measures in response to change circumstances or new avoidance tactics by employers. </w:t>
      </w:r>
    </w:p>
    <w:p w:rsidR="00D36AE8" w:rsidRDefault="00EC2019" w:rsidP="00717C14">
      <w:pPr>
        <w:pStyle w:val="T8TextBody"/>
      </w:pPr>
      <w:r>
        <w:lastRenderedPageBreak/>
        <w:t xml:space="preserve">The TUC is therefore concerned that </w:t>
      </w:r>
      <w:r w:rsidR="00C7561A" w:rsidRPr="00B540B0">
        <w:t xml:space="preserve">Article 9 of the Directive </w:t>
      </w:r>
      <w:r>
        <w:t xml:space="preserve">places restrictions </w:t>
      </w:r>
      <w:r w:rsidR="00C7561A" w:rsidRPr="00B540B0">
        <w:t xml:space="preserve">the </w:t>
      </w:r>
      <w:r w:rsidR="00B540B0">
        <w:t xml:space="preserve">use of </w:t>
      </w:r>
      <w:r w:rsidR="00C7561A" w:rsidRPr="00B540B0">
        <w:t xml:space="preserve">control measures </w:t>
      </w:r>
      <w:r w:rsidR="00B540B0">
        <w:t xml:space="preserve">by </w:t>
      </w:r>
      <w:r w:rsidR="00C7561A" w:rsidRPr="00B540B0">
        <w:t xml:space="preserve">Member States.  </w:t>
      </w:r>
      <w:r w:rsidR="00B540B0">
        <w:t xml:space="preserve">Whilst </w:t>
      </w:r>
      <w:r w:rsidR="00C7561A" w:rsidRPr="00B540B0">
        <w:t xml:space="preserve">revised text adopts an ‘open list’ approach, permitting member states to adopt additional measures not specified in the Directive, </w:t>
      </w:r>
      <w:r>
        <w:t xml:space="preserve">it also states that </w:t>
      </w:r>
      <w:r w:rsidR="00B540B0">
        <w:t>all</w:t>
      </w:r>
      <w:r w:rsidR="00C7561A" w:rsidRPr="00B540B0">
        <w:t xml:space="preserve"> control measures will be subject to a proportionality test and will be supervised by the Commission.  </w:t>
      </w:r>
    </w:p>
    <w:p w:rsidR="00EF1098" w:rsidRDefault="008711B7" w:rsidP="00717C14">
      <w:pPr>
        <w:pStyle w:val="T8TextBody"/>
      </w:pPr>
      <w:r>
        <w:t xml:space="preserve">In the UK, there are currently no control measures in place.  To date the UK government has </w:t>
      </w:r>
      <w:r w:rsidR="00430FE4">
        <w:t>not formally</w:t>
      </w:r>
      <w:r>
        <w:t xml:space="preserve"> monitored how many posted workers are in the UK at any one time or where they are working.  </w:t>
      </w:r>
    </w:p>
    <w:p w:rsidR="000E7A47" w:rsidRDefault="00717C14" w:rsidP="00717C14">
      <w:pPr>
        <w:pStyle w:val="T8TextBody"/>
      </w:pPr>
      <w:r>
        <w:t xml:space="preserve">The UK government </w:t>
      </w:r>
      <w:r w:rsidR="003172D7">
        <w:t xml:space="preserve">has argued </w:t>
      </w:r>
      <w:r>
        <w:t>that Member States</w:t>
      </w:r>
      <w:r w:rsidR="003172D7">
        <w:t>'</w:t>
      </w:r>
      <w:r>
        <w:t xml:space="preserve"> discretion to set their own control measures should be limited</w:t>
      </w:r>
      <w:r w:rsidR="000E7A47">
        <w:t xml:space="preserve">.  They </w:t>
      </w:r>
      <w:r>
        <w:t>fear such measures will be used for protectionist purposes.</w:t>
      </w:r>
      <w:r w:rsidR="00BC3625">
        <w:t xml:space="preserve">  </w:t>
      </w:r>
    </w:p>
    <w:p w:rsidR="000E7A47" w:rsidRDefault="00BC3625" w:rsidP="00717C14">
      <w:pPr>
        <w:pStyle w:val="T8TextBody"/>
      </w:pPr>
      <w:r>
        <w:t xml:space="preserve">The TUC disagrees with this approach as </w:t>
      </w:r>
      <w:r w:rsidR="008711B7">
        <w:t xml:space="preserve">it </w:t>
      </w:r>
      <w:r w:rsidR="00D36AE8">
        <w:t xml:space="preserve">would weaken the enforcement of </w:t>
      </w:r>
      <w:r w:rsidR="008711B7">
        <w:t xml:space="preserve">posted workers rights and lead to migrant workers being used to undercut pay and conditions of domestic workers.  </w:t>
      </w:r>
    </w:p>
    <w:p w:rsidR="008711B7" w:rsidRDefault="000E7A47" w:rsidP="00717C14">
      <w:pPr>
        <w:pStyle w:val="T8TextBody"/>
      </w:pPr>
      <w:r>
        <w:t>For example</w:t>
      </w:r>
      <w:r w:rsidR="00D36AE8">
        <w:t>,</w:t>
      </w:r>
      <w:r>
        <w:t xml:space="preserve"> in the UK context, i</w:t>
      </w:r>
      <w:r w:rsidR="008711B7">
        <w:t xml:space="preserve">f member states are not permitted to adopt any new control measure not already foreseen by the Directive, the ability of the government to extend the remit of the </w:t>
      </w:r>
      <w:proofErr w:type="spellStart"/>
      <w:r w:rsidR="008711B7">
        <w:t>Gangmasters</w:t>
      </w:r>
      <w:proofErr w:type="spellEnd"/>
      <w:r w:rsidR="008711B7">
        <w:t xml:space="preserve"> Licensing Authority to a new sector </w:t>
      </w:r>
      <w:r>
        <w:t xml:space="preserve">with </w:t>
      </w:r>
      <w:r w:rsidR="008711B7">
        <w:t>a high incidence of posted workers</w:t>
      </w:r>
      <w:r>
        <w:t xml:space="preserve"> (for example the </w:t>
      </w:r>
      <w:r w:rsidR="008711B7">
        <w:t>construction sector</w:t>
      </w:r>
      <w:r>
        <w:t>), might be limited</w:t>
      </w:r>
      <w:r w:rsidR="008711B7">
        <w:t>.</w:t>
      </w:r>
      <w:r>
        <w:t xml:space="preserve">  Foreign companies may argue that the requirement to attain a GLA licence </w:t>
      </w:r>
      <w:r w:rsidR="00D36AE8">
        <w:t xml:space="preserve">is disproportionate and unduly </w:t>
      </w:r>
      <w:r>
        <w:t>restricts their ability to post workers to the UK.</w:t>
      </w:r>
    </w:p>
    <w:p w:rsidR="00717C14" w:rsidRDefault="008711B7" w:rsidP="00717C14">
      <w:pPr>
        <w:pStyle w:val="T8Level2Heading"/>
      </w:pPr>
      <w:r>
        <w:t>Enforcement of rights through supply chains - j</w:t>
      </w:r>
      <w:r w:rsidR="00717C14">
        <w:t xml:space="preserve">oint and </w:t>
      </w:r>
      <w:r>
        <w:t xml:space="preserve">several </w:t>
      </w:r>
      <w:proofErr w:type="gramStart"/>
      <w:r>
        <w:t>liability</w:t>
      </w:r>
      <w:proofErr w:type="gramEnd"/>
      <w:r>
        <w:t xml:space="preserve"> (Article 12)</w:t>
      </w:r>
    </w:p>
    <w:p w:rsidR="003B2F11" w:rsidRDefault="003B2F11" w:rsidP="00732837">
      <w:pPr>
        <w:pStyle w:val="T8TextBody"/>
      </w:pPr>
      <w:r>
        <w:t>The TUC believes that there is a pressing need for improved enforcement of posted workers rights through supply chains. We are concerned however that the provisions subcontracting liability contained in Article 12 do not go far enough.</w:t>
      </w:r>
    </w:p>
    <w:p w:rsidR="00C67535" w:rsidRDefault="00C67535" w:rsidP="00C67535">
      <w:pPr>
        <w:pStyle w:val="T8TextBody"/>
      </w:pPr>
      <w:r>
        <w:t xml:space="preserve">The draft Directive proposes that the main contractor should be liable if the first or main sub-contractor fails to comply with posted workers rights.  However these provisions are largely optional for member states.    In addition, contractors can avoid liability if they can demonstrate due diligence.  </w:t>
      </w:r>
    </w:p>
    <w:p w:rsidR="00C67535" w:rsidRDefault="00C67535" w:rsidP="00C67535">
      <w:pPr>
        <w:pStyle w:val="T8TextBody"/>
      </w:pPr>
      <w:r>
        <w:t xml:space="preserve">Following the </w:t>
      </w:r>
      <w:proofErr w:type="spellStart"/>
      <w:r>
        <w:t>trialogue</w:t>
      </w:r>
      <w:proofErr w:type="spellEnd"/>
      <w:r>
        <w:t xml:space="preserve"> process, the draft text requires governments to take some action to tackle fraud or abuse by sub-contractors in the construction sector. However, these measures may fall short of joint and several liability rules.  </w:t>
      </w:r>
    </w:p>
    <w:p w:rsidR="008711B7" w:rsidRDefault="00D5179B" w:rsidP="008711B7">
      <w:pPr>
        <w:pStyle w:val="T8TextBody"/>
      </w:pPr>
      <w:r>
        <w:t xml:space="preserve">The TUC </w:t>
      </w:r>
      <w:r w:rsidR="000E7A47">
        <w:t xml:space="preserve">believes that the introduction of joint and several liability arrangements </w:t>
      </w:r>
      <w:r>
        <w:t xml:space="preserve">should be obligatory </w:t>
      </w:r>
      <w:r w:rsidR="000E7A47">
        <w:t xml:space="preserve">for all member states and that the rules should </w:t>
      </w:r>
      <w:r>
        <w:t xml:space="preserve">extend to all sectors.  </w:t>
      </w:r>
      <w:r w:rsidR="000E7A47">
        <w:t xml:space="preserve">This is the </w:t>
      </w:r>
      <w:r w:rsidR="00C67535">
        <w:t xml:space="preserve">most effective </w:t>
      </w:r>
      <w:r w:rsidR="000E7A47">
        <w:t xml:space="preserve">way of achieving a level playing field and fair competition for businesses across the EU.  </w:t>
      </w:r>
      <w:r>
        <w:t xml:space="preserve">We also believe that joint </w:t>
      </w:r>
      <w:r w:rsidR="000E7A47">
        <w:t xml:space="preserve">and several </w:t>
      </w:r>
      <w:proofErr w:type="gramStart"/>
      <w:r>
        <w:t>liability</w:t>
      </w:r>
      <w:proofErr w:type="gramEnd"/>
      <w:r>
        <w:t xml:space="preserve"> should apply throughout the supply chain. For example</w:t>
      </w:r>
      <w:r w:rsidR="000E7A47">
        <w:t>,</w:t>
      </w:r>
      <w:r>
        <w:t xml:space="preserve"> in </w:t>
      </w:r>
      <w:r w:rsidR="000E7A47">
        <w:t xml:space="preserve">the </w:t>
      </w:r>
      <w:r>
        <w:t xml:space="preserve">construction </w:t>
      </w:r>
      <w:r w:rsidR="00C67535">
        <w:lastRenderedPageBreak/>
        <w:t xml:space="preserve">and service </w:t>
      </w:r>
      <w:r w:rsidR="000E7A47">
        <w:t>sector</w:t>
      </w:r>
      <w:r w:rsidR="00C67535">
        <w:t>s</w:t>
      </w:r>
      <w:r w:rsidR="000E7A47">
        <w:t xml:space="preserve"> it </w:t>
      </w:r>
      <w:r>
        <w:t xml:space="preserve">is </w:t>
      </w:r>
      <w:r w:rsidR="000E7A47">
        <w:t>not un</w:t>
      </w:r>
      <w:r>
        <w:t>common for numerous contract</w:t>
      </w:r>
      <w:r w:rsidR="000E7A47">
        <w:t>or</w:t>
      </w:r>
      <w:r>
        <w:t xml:space="preserve">s to be involved in the supply of workers.  </w:t>
      </w:r>
      <w:r w:rsidR="000E7A47">
        <w:t xml:space="preserve">If the joint and several liability rules only apply to </w:t>
      </w:r>
      <w:r>
        <w:t xml:space="preserve">the main sub-contractor means </w:t>
      </w:r>
      <w:r w:rsidR="000E7A47">
        <w:t xml:space="preserve">they are likely to have limited </w:t>
      </w:r>
      <w:r>
        <w:t xml:space="preserve">effect. </w:t>
      </w:r>
    </w:p>
    <w:p w:rsidR="00132E74" w:rsidRDefault="00D5179B" w:rsidP="00132E74">
      <w:pPr>
        <w:pStyle w:val="T8TextBody"/>
      </w:pPr>
      <w:r>
        <w:t xml:space="preserve">The UK government is vehemently opposed to the inclusion of any joint and several liability provisions. </w:t>
      </w:r>
    </w:p>
    <w:p w:rsidR="00132E74" w:rsidRDefault="001F0E19" w:rsidP="001F0E19">
      <w:pPr>
        <w:pStyle w:val="T8Level1Heading"/>
      </w:pPr>
      <w:r>
        <w:t>Conclusion</w:t>
      </w:r>
    </w:p>
    <w:p w:rsidR="001F0E19" w:rsidRDefault="001F0E19" w:rsidP="001F0E19">
      <w:pPr>
        <w:pStyle w:val="T8TextBody"/>
      </w:pPr>
      <w:r>
        <w:t xml:space="preserve">In conclusion, the TUC is concerned that the Directive has been rushed through the </w:t>
      </w:r>
      <w:proofErr w:type="spellStart"/>
      <w:r>
        <w:t>trialogue</w:t>
      </w:r>
      <w:proofErr w:type="spellEnd"/>
      <w:r>
        <w:t xml:space="preserve"> process in advance of the European elections and that the outcomes from the negotiations will not effectively protect posted workers.  </w:t>
      </w:r>
    </w:p>
    <w:p w:rsidR="009E72C9" w:rsidRDefault="001F0E19" w:rsidP="001F0E19">
      <w:pPr>
        <w:pStyle w:val="T8TextBody"/>
      </w:pPr>
      <w:r>
        <w:t xml:space="preserve">Whilst the proposed Directive may encourage increased co-operation and co-ordination between member states, it is unlikely to prevent the abuse of posted workers across the EU.  There is </w:t>
      </w:r>
      <w:r w:rsidR="009E72C9">
        <w:t xml:space="preserve">a serious </w:t>
      </w:r>
      <w:r>
        <w:t>risk that employers will continue to use posted workers to undercut local pay rates and to drive down terms and conditions</w:t>
      </w:r>
      <w:r w:rsidR="009E72C9">
        <w:t xml:space="preserve">.  </w:t>
      </w:r>
    </w:p>
    <w:p w:rsidR="001F0E19" w:rsidRPr="001F0E19" w:rsidRDefault="001F0E19" w:rsidP="001F0E19">
      <w:pPr>
        <w:pStyle w:val="T8TextBody"/>
      </w:pPr>
      <w:r>
        <w:t xml:space="preserve">The TUC therefore continues to call for </w:t>
      </w:r>
      <w:r w:rsidR="003F6B1F">
        <w:t xml:space="preserve">the current Directive to be strengthened and for </w:t>
      </w:r>
      <w:r>
        <w:t xml:space="preserve">a more wide-ranging </w:t>
      </w:r>
      <w:r w:rsidR="009E72C9">
        <w:t>reform of the 1996 Posted Workers Directive.</w:t>
      </w:r>
    </w:p>
    <w:sectPr w:rsidR="001F0E19" w:rsidRPr="001F0E19" w:rsidSect="00B32DA7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2552" w:right="964" w:bottom="561" w:left="3119" w:header="680" w:footer="561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C9" w:rsidRDefault="009E72C9" w:rsidP="003C7DE2">
      <w:r>
        <w:separator/>
      </w:r>
    </w:p>
  </w:endnote>
  <w:endnote w:type="continuationSeparator" w:id="0">
    <w:p w:rsidR="009E72C9" w:rsidRDefault="009E72C9" w:rsidP="003C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bo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C9" w:rsidRDefault="009E72C9">
    <w:pPr>
      <w:spacing w:line="240" w:lineRule="exact"/>
    </w:pPr>
  </w:p>
  <w:p w:rsidR="009E72C9" w:rsidRDefault="009E72C9"/>
  <w:p w:rsidR="009E72C9" w:rsidRDefault="009E72C9">
    <w:pPr>
      <w:tabs>
        <w:tab w:val="right" w:pos="8080"/>
      </w:tabs>
      <w:spacing w:line="254" w:lineRule="exact"/>
      <w:ind w:right="-258"/>
      <w:jc w:val="both"/>
      <w:rPr>
        <w:rStyle w:val="PageNumber"/>
      </w:rPr>
    </w:pPr>
    <w:r>
      <w:rPr>
        <w:rFonts w:ascii="Arial Narrow" w:hAnsi="Arial Narrow"/>
        <w:sz w:val="16"/>
      </w:rPr>
      <w:tab/>
    </w:r>
    <w:r w:rsidR="00444A1C">
      <w:rPr>
        <w:rStyle w:val="PageNumber"/>
      </w:rPr>
      <w:fldChar w:fldCharType="begin"/>
    </w:r>
    <w:r>
      <w:rPr>
        <w:rStyle w:val="PageNumber"/>
      </w:rPr>
      <w:instrText xml:space="preserve">PAGE </w:instrText>
    </w:r>
    <w:r w:rsidR="00444A1C">
      <w:rPr>
        <w:rStyle w:val="PageNumber"/>
      </w:rPr>
      <w:fldChar w:fldCharType="separate"/>
    </w:r>
    <w:r w:rsidR="00501B2D">
      <w:rPr>
        <w:rStyle w:val="PageNumber"/>
        <w:noProof/>
      </w:rPr>
      <w:t>2</w:t>
    </w:r>
    <w:r w:rsidR="00444A1C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C9" w:rsidRDefault="00444A1C">
    <w:pPr>
      <w:pStyle w:val="Footer"/>
    </w:pPr>
    <w:r w:rsidRPr="00444A1C">
      <w:rPr>
        <w:noProof/>
        <w:snapToGrid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8pt;margin-top:660.3pt;width:54.75pt;height:148.95pt;z-index:251657728;mso-wrap-edited:f;mso-position-horizontal-relative:page;mso-position-vertical-relative:page" wrapcoords="0 0 21600 0 21600 21600 0 21600 0 0" filled="f" stroked="f">
          <v:textbox style="layout-flow:vertical;mso-layout-flow-alt:bottom-to-top;mso-next-textbox:#_x0000_s1036">
            <w:txbxContent>
              <w:p w:rsidR="009E72C9" w:rsidRDefault="009E72C9">
                <w:pPr>
                  <w:pStyle w:val="T8Briefing"/>
                  <w:jc w:val="center"/>
                </w:pPr>
                <w:proofErr w:type="gramStart"/>
                <w:r>
                  <w:t>briefing</w:t>
                </w:r>
                <w:proofErr w:type="gramEnd"/>
              </w:p>
            </w:txbxContent>
          </v:textbox>
          <w10:wrap anchorx="page" anchory="page"/>
        </v:shape>
      </w:pict>
    </w:r>
  </w:p>
  <w:p w:rsidR="009E72C9" w:rsidRDefault="009E72C9">
    <w:pPr>
      <w:pStyle w:val="Footer"/>
    </w:pPr>
  </w:p>
  <w:p w:rsidR="009E72C9" w:rsidRDefault="009E72C9">
    <w:pPr>
      <w:tabs>
        <w:tab w:val="right" w:pos="7825"/>
      </w:tabs>
      <w:spacing w:line="254" w:lineRule="exact"/>
      <w:jc w:val="both"/>
      <w:rPr>
        <w:rFonts w:ascii="Arial Narrow" w:hAnsi="Arial Narrow"/>
        <w:sz w:val="16"/>
      </w:rPr>
    </w:pPr>
  </w:p>
  <w:p w:rsidR="009E72C9" w:rsidRDefault="009E72C9">
    <w:pPr>
      <w:pStyle w:val="Footer"/>
      <w:tabs>
        <w:tab w:val="clear" w:pos="7830"/>
        <w:tab w:val="right" w:pos="8080"/>
      </w:tabs>
      <w:ind w:right="-258"/>
      <w:rPr>
        <w:rStyle w:val="PageNumber"/>
      </w:rPr>
    </w:pPr>
    <w:r>
      <w:tab/>
    </w:r>
    <w:r w:rsidR="00444A1C">
      <w:rPr>
        <w:rStyle w:val="PageNumber"/>
      </w:rPr>
      <w:fldChar w:fldCharType="begin"/>
    </w:r>
    <w:r>
      <w:rPr>
        <w:rStyle w:val="PageNumber"/>
      </w:rPr>
      <w:instrText xml:space="preserve">PAGE </w:instrText>
    </w:r>
    <w:r w:rsidR="00444A1C">
      <w:rPr>
        <w:rStyle w:val="PageNumber"/>
      </w:rPr>
      <w:fldChar w:fldCharType="separate"/>
    </w:r>
    <w:r w:rsidR="00501B2D">
      <w:rPr>
        <w:rStyle w:val="PageNumber"/>
        <w:noProof/>
      </w:rPr>
      <w:t>1</w:t>
    </w:r>
    <w:r w:rsidR="00444A1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C9" w:rsidRDefault="009E72C9" w:rsidP="003C7DE2">
      <w:r>
        <w:separator/>
      </w:r>
    </w:p>
  </w:footnote>
  <w:footnote w:type="continuationSeparator" w:id="0">
    <w:p w:rsidR="009E72C9" w:rsidRDefault="009E72C9" w:rsidP="003C7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C9" w:rsidRDefault="009E72C9">
    <w:pPr>
      <w:pStyle w:val="T8RunningHeader"/>
    </w:pPr>
    <w:r>
      <w:rPr>
        <w:noProof/>
        <w:snapToGrid/>
        <w:lang w:eastAsia="en-GB"/>
      </w:rPr>
      <w:drawing>
        <wp:anchor distT="0" distB="0" distL="114300" distR="114300" simplePos="0" relativeHeight="251653630" behindDoc="1" locked="1" layoutInCell="1" allowOverlap="1">
          <wp:simplePos x="0" y="0"/>
          <wp:positionH relativeFrom="column">
            <wp:posOffset>-1549400</wp:posOffset>
          </wp:positionH>
          <wp:positionV relativeFrom="paragraph">
            <wp:posOffset>635</wp:posOffset>
          </wp:positionV>
          <wp:extent cx="808990" cy="9829800"/>
          <wp:effectExtent l="19050" t="0" r="0" b="0"/>
          <wp:wrapNone/>
          <wp:docPr id="17" name="shpFront_Cover" descr="G:\templates\images\T08 front graphic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pFront_Cover" descr="G:\templates\images\T08 front graphic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982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  <w:lang w:eastAsia="en-GB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column">
            <wp:posOffset>4176395</wp:posOffset>
          </wp:positionH>
          <wp:positionV relativeFrom="page">
            <wp:posOffset>431800</wp:posOffset>
          </wp:positionV>
          <wp:extent cx="981075" cy="552450"/>
          <wp:effectExtent l="19050" t="0" r="9525" b="0"/>
          <wp:wrapNone/>
          <wp:docPr id="15" name="Picture 15" descr="committee size TUC logo">
            <a:hlinkClick xmlns:a="http://schemas.openxmlformats.org/drawingml/2006/main" r:id="rId2" tooltip="Link to: TUC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mmittee size TUC logo">
                    <a:hlinkClick r:id="rId2" tooltip="Link to: TUC homepage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bookmarkStart w:id="4" w:name="bmRunningheader"/>
    <w:r>
      <w:t>EU Posted Workers Directive</w:t>
    </w:r>
    <w:bookmarkEnd w:id="4"/>
    <w:r w:rsidR="00444A1C" w:rsidRPr="00444A1C">
      <w:pict>
        <v:rect id="_x0000_s1025" style="position:absolute;left:0;text-align:left;margin-left:-486.7pt;margin-top:67.9pt;width:468pt;height:660.3pt;z-index:-251660800;mso-position-horizontal-relative:margin;mso-position-vertical-relative:margin" o:allowincell="f" filled="f" stroked="f" strokeweight="0">
          <v:textbox style="mso-next-textbox:#_x0000_s1025" inset="0,0,0,0">
            <w:txbxContent>
              <w:p w:rsidR="009E72C9" w:rsidRDefault="009E72C9">
                <w:pPr>
                  <w:jc w:val="both"/>
                </w:pP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C9" w:rsidRDefault="009E72C9">
    <w:pPr>
      <w:pStyle w:val="Header"/>
    </w:pPr>
    <w:r>
      <w:rPr>
        <w:noProof/>
        <w:snapToGrid/>
        <w:lang w:eastAsia="en-GB"/>
      </w:rPr>
      <w:drawing>
        <wp:anchor distT="0" distB="0" distL="114300" distR="114300" simplePos="0" relativeHeight="251654655" behindDoc="1" locked="1" layoutInCell="1" allowOverlap="1">
          <wp:simplePos x="0" y="0"/>
          <wp:positionH relativeFrom="column">
            <wp:posOffset>-1549400</wp:posOffset>
          </wp:positionH>
          <wp:positionV relativeFrom="paragraph">
            <wp:posOffset>635</wp:posOffset>
          </wp:positionV>
          <wp:extent cx="808990" cy="9829800"/>
          <wp:effectExtent l="19050" t="0" r="0" b="0"/>
          <wp:wrapNone/>
          <wp:docPr id="16" name="shpFront_Cover_1st" descr="G:\templates\images\T08 front graphic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pFront_Cover_1st" descr="G:\templates\images\T08 front graphic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982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8248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F81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624D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60CB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EC68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0477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D6E5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A056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D810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327A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41971126"/>
    <w:multiLevelType w:val="multilevel"/>
    <w:tmpl w:val="31029110"/>
    <w:lvl w:ilvl="0">
      <w:start w:val="1"/>
      <w:numFmt w:val="bullet"/>
      <w:pStyle w:val="T8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5AB6A85"/>
    <w:multiLevelType w:val="singleLevel"/>
    <w:tmpl w:val="9446C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EF4486"/>
    <w:multiLevelType w:val="singleLevel"/>
    <w:tmpl w:val="3A4003F8"/>
    <w:lvl w:ilvl="0">
      <w:start w:val="1"/>
      <w:numFmt w:val="bullet"/>
      <w:pStyle w:val="TOC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1329B2"/>
    <w:multiLevelType w:val="singleLevel"/>
    <w:tmpl w:val="A0E4DC06"/>
    <w:lvl w:ilvl="0">
      <w:numFmt w:val="bullet"/>
      <w:lvlText w:val=""/>
      <w:lvlJc w:val="left"/>
      <w:pPr>
        <w:tabs>
          <w:tab w:val="num" w:pos="398"/>
        </w:tabs>
        <w:ind w:left="398" w:hanging="398"/>
      </w:pPr>
      <w:rPr>
        <w:rFonts w:ascii="WP MathA" w:hAnsi="WP MathA" w:hint="default"/>
      </w:rPr>
    </w:lvl>
  </w:abstractNum>
  <w:num w:numId="1">
    <w:abstractNumId w:val="10"/>
    <w:lvlOverride w:ilvl="0">
      <w:lvl w:ilvl="0">
        <w:numFmt w:val="bullet"/>
        <w:lvlText w:val=""/>
        <w:legacy w:legacy="1" w:legacySpace="0" w:legacyIndent="2608"/>
        <w:lvlJc w:val="left"/>
        <w:pPr>
          <w:ind w:left="398" w:hanging="2608"/>
        </w:pPr>
        <w:rPr>
          <w:rFonts w:ascii="WP MathA" w:hAnsi="WP MathA" w:hint="default"/>
        </w:rPr>
      </w:lvl>
    </w:lvlOverride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C7DE2"/>
    <w:rsid w:val="000A5CB8"/>
    <w:rsid w:val="000D77F7"/>
    <w:rsid w:val="000E7A47"/>
    <w:rsid w:val="00132E74"/>
    <w:rsid w:val="0018347B"/>
    <w:rsid w:val="001958F7"/>
    <w:rsid w:val="001F0E19"/>
    <w:rsid w:val="0029520F"/>
    <w:rsid w:val="003172D7"/>
    <w:rsid w:val="00394F2E"/>
    <w:rsid w:val="003A690A"/>
    <w:rsid w:val="003B2F11"/>
    <w:rsid w:val="003C7DE2"/>
    <w:rsid w:val="003F6B1F"/>
    <w:rsid w:val="00430FE4"/>
    <w:rsid w:val="00444A1C"/>
    <w:rsid w:val="004766CC"/>
    <w:rsid w:val="004A6281"/>
    <w:rsid w:val="00501B2D"/>
    <w:rsid w:val="00542172"/>
    <w:rsid w:val="005B65F4"/>
    <w:rsid w:val="006115D8"/>
    <w:rsid w:val="0071277B"/>
    <w:rsid w:val="00717C14"/>
    <w:rsid w:val="00732837"/>
    <w:rsid w:val="007A09C6"/>
    <w:rsid w:val="007A7F7E"/>
    <w:rsid w:val="008711B7"/>
    <w:rsid w:val="0088113B"/>
    <w:rsid w:val="008A5969"/>
    <w:rsid w:val="008E21F9"/>
    <w:rsid w:val="00900DF8"/>
    <w:rsid w:val="009E72C9"/>
    <w:rsid w:val="00AC17AC"/>
    <w:rsid w:val="00B32DA7"/>
    <w:rsid w:val="00B540B0"/>
    <w:rsid w:val="00BC3625"/>
    <w:rsid w:val="00C67535"/>
    <w:rsid w:val="00C7561A"/>
    <w:rsid w:val="00D36AE8"/>
    <w:rsid w:val="00D5179B"/>
    <w:rsid w:val="00E9670C"/>
    <w:rsid w:val="00EC2019"/>
    <w:rsid w:val="00EE7404"/>
    <w:rsid w:val="00EF0A76"/>
    <w:rsid w:val="00EF1098"/>
    <w:rsid w:val="00E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A7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B32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2D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2D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32D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32D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32DA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32DA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32D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32DA7"/>
    <w:rPr>
      <w:dstrike w:val="0"/>
      <w:sz w:val="18"/>
      <w:vertAlign w:val="superscript"/>
    </w:rPr>
  </w:style>
  <w:style w:type="paragraph" w:customStyle="1" w:styleId="T8Bullet">
    <w:name w:val="T8Bullet"/>
    <w:basedOn w:val="Normal"/>
    <w:rsid w:val="00B32DA7"/>
    <w:pPr>
      <w:numPr>
        <w:numId w:val="5"/>
      </w:numPr>
      <w:tabs>
        <w:tab w:val="left" w:pos="227"/>
        <w:tab w:val="left" w:pos="454"/>
      </w:tabs>
      <w:spacing w:after="140"/>
    </w:pPr>
    <w:rPr>
      <w:rFonts w:ascii="Frutiger 45" w:hAnsi="Frutiger 45"/>
      <w:sz w:val="22"/>
    </w:rPr>
  </w:style>
  <w:style w:type="paragraph" w:customStyle="1" w:styleId="T8Title1">
    <w:name w:val="T8Title1"/>
    <w:basedOn w:val="Normal"/>
    <w:rsid w:val="00B32DA7"/>
    <w:pPr>
      <w:spacing w:before="540" w:line="300" w:lineRule="exact"/>
      <w:ind w:right="3286" w:hanging="567"/>
    </w:pPr>
    <w:rPr>
      <w:rFonts w:ascii="Frutiger 55" w:hAnsi="Frutiger 55"/>
      <w:b/>
      <w:sz w:val="22"/>
    </w:rPr>
  </w:style>
  <w:style w:type="paragraph" w:customStyle="1" w:styleId="T8Title2">
    <w:name w:val="T8Title2"/>
    <w:basedOn w:val="Normal"/>
    <w:rsid w:val="00B32DA7"/>
    <w:pPr>
      <w:spacing w:line="300" w:lineRule="exact"/>
      <w:ind w:right="3286"/>
    </w:pPr>
    <w:rPr>
      <w:rFonts w:ascii="Frutiger 45" w:hAnsi="Frutiger 45"/>
      <w:b/>
      <w:sz w:val="22"/>
    </w:rPr>
  </w:style>
  <w:style w:type="paragraph" w:customStyle="1" w:styleId="T8Level1Heading">
    <w:name w:val="T8Level1Heading"/>
    <w:basedOn w:val="T8TextBody"/>
    <w:next w:val="T8TextBody"/>
    <w:rsid w:val="00B32DA7"/>
    <w:pPr>
      <w:spacing w:before="120" w:after="180" w:line="340" w:lineRule="exact"/>
      <w:outlineLvl w:val="0"/>
    </w:pPr>
    <w:rPr>
      <w:sz w:val="28"/>
    </w:rPr>
  </w:style>
  <w:style w:type="paragraph" w:customStyle="1" w:styleId="T8MainHeadng">
    <w:name w:val="T8MainHeadng"/>
    <w:basedOn w:val="Normal"/>
    <w:next w:val="T8TextBody"/>
    <w:rsid w:val="00B32DA7"/>
    <w:pPr>
      <w:spacing w:before="720" w:after="240"/>
      <w:ind w:hanging="567"/>
    </w:pPr>
    <w:rPr>
      <w:rFonts w:ascii="Frutiger 55" w:hAnsi="Frutiger 55"/>
      <w:b/>
      <w:sz w:val="36"/>
    </w:rPr>
  </w:style>
  <w:style w:type="paragraph" w:customStyle="1" w:styleId="T8Level2Heading">
    <w:name w:val="T8Level2Heading"/>
    <w:basedOn w:val="Normal"/>
    <w:next w:val="T8TextBody"/>
    <w:rsid w:val="00B32DA7"/>
    <w:pPr>
      <w:keepNext/>
      <w:widowControl/>
      <w:spacing w:before="120" w:after="140" w:line="300" w:lineRule="exact"/>
      <w:outlineLvl w:val="1"/>
    </w:pPr>
    <w:rPr>
      <w:rFonts w:ascii="Frutiger 55" w:hAnsi="Frutiger 55"/>
      <w:b/>
      <w:sz w:val="22"/>
    </w:rPr>
  </w:style>
  <w:style w:type="character" w:styleId="PageNumber">
    <w:name w:val="page number"/>
    <w:basedOn w:val="DefaultParagraphFont"/>
    <w:semiHidden/>
    <w:rsid w:val="00B32DA7"/>
    <w:rPr>
      <w:rFonts w:ascii="Frutiger 45" w:hAnsi="Frutiger 45"/>
      <w:sz w:val="22"/>
    </w:rPr>
  </w:style>
  <w:style w:type="paragraph" w:customStyle="1" w:styleId="T8TextBody">
    <w:name w:val="T8TextBody"/>
    <w:basedOn w:val="Normal"/>
    <w:rsid w:val="00B32DA7"/>
    <w:pPr>
      <w:widowControl/>
      <w:spacing w:after="140" w:line="300" w:lineRule="exact"/>
    </w:pPr>
    <w:rPr>
      <w:rFonts w:ascii="Frutiger 45" w:hAnsi="Frutiger 45"/>
      <w:sz w:val="22"/>
    </w:rPr>
  </w:style>
  <w:style w:type="paragraph" w:styleId="BlockText">
    <w:name w:val="Block Text"/>
    <w:basedOn w:val="Normal"/>
    <w:semiHidden/>
    <w:rsid w:val="00B32DA7"/>
    <w:pPr>
      <w:spacing w:after="120"/>
      <w:ind w:left="1440" w:right="1440"/>
    </w:pPr>
  </w:style>
  <w:style w:type="paragraph" w:styleId="Header">
    <w:name w:val="header"/>
    <w:basedOn w:val="Normal"/>
    <w:semiHidden/>
    <w:rsid w:val="00B32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32DA7"/>
    <w:pPr>
      <w:tabs>
        <w:tab w:val="right" w:pos="7830"/>
        <w:tab w:val="right" w:pos="8640"/>
      </w:tabs>
    </w:pPr>
    <w:rPr>
      <w:rFonts w:ascii="Frutiger 45" w:hAnsi="Frutiger 45"/>
      <w:sz w:val="16"/>
    </w:rPr>
  </w:style>
  <w:style w:type="paragraph" w:styleId="BodyText">
    <w:name w:val="Body Text"/>
    <w:basedOn w:val="Normal"/>
    <w:semiHidden/>
    <w:rsid w:val="00B32DA7"/>
    <w:rPr>
      <w:sz w:val="48"/>
    </w:rPr>
  </w:style>
  <w:style w:type="paragraph" w:styleId="DocumentMap">
    <w:name w:val="Document Map"/>
    <w:basedOn w:val="Normal"/>
    <w:semiHidden/>
    <w:rsid w:val="00B32DA7"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autoRedefine/>
    <w:semiHidden/>
    <w:rsid w:val="00B32DA7"/>
    <w:pPr>
      <w:numPr>
        <w:numId w:val="3"/>
      </w:numPr>
    </w:pPr>
  </w:style>
  <w:style w:type="paragraph" w:customStyle="1" w:styleId="T8Briefing">
    <w:name w:val="T8Briefing"/>
    <w:basedOn w:val="Normal"/>
    <w:rsid w:val="00B32DA7"/>
    <w:rPr>
      <w:rFonts w:ascii="Frutiger 55" w:hAnsi="Frutiger 55"/>
      <w:color w:val="FFFFFF"/>
      <w:sz w:val="60"/>
    </w:rPr>
  </w:style>
  <w:style w:type="paragraph" w:styleId="FootnoteText">
    <w:name w:val="footnote text"/>
    <w:basedOn w:val="T8TextBody"/>
    <w:semiHidden/>
    <w:rsid w:val="00B32DA7"/>
    <w:rPr>
      <w:sz w:val="18"/>
    </w:rPr>
  </w:style>
  <w:style w:type="paragraph" w:styleId="EndnoteText">
    <w:name w:val="endnote text"/>
    <w:basedOn w:val="T8TextBody"/>
    <w:semiHidden/>
    <w:rsid w:val="00B32DA7"/>
    <w:rPr>
      <w:sz w:val="20"/>
    </w:rPr>
  </w:style>
  <w:style w:type="paragraph" w:customStyle="1" w:styleId="T8RunningHeader">
    <w:name w:val="T8RunningHeader"/>
    <w:basedOn w:val="Normal"/>
    <w:rsid w:val="00B32DA7"/>
    <w:pPr>
      <w:ind w:left="-720"/>
    </w:pPr>
    <w:rPr>
      <w:rFonts w:ascii="Frutiger 45" w:hAnsi="Frutiger 45"/>
      <w:b/>
      <w:sz w:val="22"/>
    </w:rPr>
  </w:style>
  <w:style w:type="paragraph" w:styleId="BodyText2">
    <w:name w:val="Body Text 2"/>
    <w:basedOn w:val="Normal"/>
    <w:semiHidden/>
    <w:rsid w:val="00B32DA7"/>
    <w:pPr>
      <w:spacing w:after="120" w:line="480" w:lineRule="auto"/>
    </w:pPr>
  </w:style>
  <w:style w:type="paragraph" w:styleId="BodyText3">
    <w:name w:val="Body Text 3"/>
    <w:basedOn w:val="Normal"/>
    <w:semiHidden/>
    <w:rsid w:val="00B32DA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32DA7"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semiHidden/>
    <w:rsid w:val="00B32DA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B32DA7"/>
    <w:pPr>
      <w:ind w:firstLine="210"/>
    </w:pPr>
  </w:style>
  <w:style w:type="paragraph" w:styleId="BodyTextIndent2">
    <w:name w:val="Body Text Indent 2"/>
    <w:basedOn w:val="Normal"/>
    <w:semiHidden/>
    <w:rsid w:val="00B32DA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B32DA7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32DA7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rsid w:val="00B32DA7"/>
    <w:pPr>
      <w:ind w:left="4252"/>
    </w:pPr>
  </w:style>
  <w:style w:type="character" w:styleId="CommentReference">
    <w:name w:val="annotation reference"/>
    <w:basedOn w:val="DefaultParagraphFont"/>
    <w:semiHidden/>
    <w:rsid w:val="00B32DA7"/>
    <w:rPr>
      <w:sz w:val="16"/>
      <w:szCs w:val="16"/>
    </w:rPr>
  </w:style>
  <w:style w:type="paragraph" w:styleId="CommentText">
    <w:name w:val="annotation text"/>
    <w:basedOn w:val="Normal"/>
    <w:semiHidden/>
    <w:rsid w:val="00B32DA7"/>
    <w:rPr>
      <w:sz w:val="20"/>
    </w:rPr>
  </w:style>
  <w:style w:type="paragraph" w:styleId="Date">
    <w:name w:val="Date"/>
    <w:basedOn w:val="Normal"/>
    <w:next w:val="Normal"/>
    <w:semiHidden/>
    <w:rsid w:val="00B32DA7"/>
  </w:style>
  <w:style w:type="paragraph" w:styleId="E-mailSignature">
    <w:name w:val="E-mail Signature"/>
    <w:basedOn w:val="Normal"/>
    <w:semiHidden/>
    <w:rsid w:val="00B32DA7"/>
  </w:style>
  <w:style w:type="character" w:styleId="Emphasis">
    <w:name w:val="Emphasis"/>
    <w:basedOn w:val="DefaultParagraphFont"/>
    <w:qFormat/>
    <w:rsid w:val="00B32DA7"/>
    <w:rPr>
      <w:i/>
      <w:iCs/>
    </w:rPr>
  </w:style>
  <w:style w:type="character" w:styleId="EndnoteReference">
    <w:name w:val="endnote reference"/>
    <w:basedOn w:val="DefaultParagraphFont"/>
    <w:semiHidden/>
    <w:rsid w:val="00B32DA7"/>
    <w:rPr>
      <w:vertAlign w:val="superscript"/>
    </w:rPr>
  </w:style>
  <w:style w:type="paragraph" w:styleId="EnvelopeAddress">
    <w:name w:val="envelope address"/>
    <w:basedOn w:val="Normal"/>
    <w:semiHidden/>
    <w:rsid w:val="00B32DA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B32DA7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B32DA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B32DA7"/>
  </w:style>
  <w:style w:type="paragraph" w:styleId="HTMLAddress">
    <w:name w:val="HTML Address"/>
    <w:basedOn w:val="Normal"/>
    <w:semiHidden/>
    <w:rsid w:val="00B32DA7"/>
    <w:rPr>
      <w:i/>
      <w:iCs/>
    </w:rPr>
  </w:style>
  <w:style w:type="character" w:styleId="HTMLCite">
    <w:name w:val="HTML Cite"/>
    <w:basedOn w:val="DefaultParagraphFont"/>
    <w:semiHidden/>
    <w:rsid w:val="00B32DA7"/>
    <w:rPr>
      <w:i/>
      <w:iCs/>
    </w:rPr>
  </w:style>
  <w:style w:type="character" w:styleId="HTMLCode">
    <w:name w:val="HTML Code"/>
    <w:basedOn w:val="DefaultParagraphFont"/>
    <w:semiHidden/>
    <w:rsid w:val="00B32DA7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sid w:val="00B32DA7"/>
    <w:rPr>
      <w:i/>
      <w:iCs/>
    </w:rPr>
  </w:style>
  <w:style w:type="character" w:styleId="HTMLKeyboard">
    <w:name w:val="HTML Keyboard"/>
    <w:basedOn w:val="DefaultParagraphFont"/>
    <w:semiHidden/>
    <w:rsid w:val="00B32DA7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sid w:val="00B32DA7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B32DA7"/>
    <w:rPr>
      <w:rFonts w:ascii="Courier New" w:hAnsi="Courier New"/>
    </w:rPr>
  </w:style>
  <w:style w:type="character" w:styleId="HTMLTypewriter">
    <w:name w:val="HTML Typewriter"/>
    <w:basedOn w:val="DefaultParagraphFont"/>
    <w:semiHidden/>
    <w:rsid w:val="00B32DA7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sid w:val="00B32DA7"/>
    <w:rPr>
      <w:i/>
      <w:iCs/>
    </w:rPr>
  </w:style>
  <w:style w:type="character" w:styleId="Hyperlink">
    <w:name w:val="Hyperlink"/>
    <w:basedOn w:val="DefaultParagraphFont"/>
    <w:semiHidden/>
    <w:rsid w:val="00B32DA7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B32DA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32DA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32DA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32DA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32DA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32DA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32DA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32DA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32DA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32DA7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B32DA7"/>
  </w:style>
  <w:style w:type="paragraph" w:styleId="List">
    <w:name w:val="List"/>
    <w:basedOn w:val="Normal"/>
    <w:semiHidden/>
    <w:rsid w:val="00B32DA7"/>
    <w:pPr>
      <w:ind w:left="283" w:hanging="283"/>
    </w:pPr>
  </w:style>
  <w:style w:type="paragraph" w:styleId="List2">
    <w:name w:val="List 2"/>
    <w:basedOn w:val="Normal"/>
    <w:semiHidden/>
    <w:rsid w:val="00B32DA7"/>
    <w:pPr>
      <w:ind w:left="566" w:hanging="283"/>
    </w:pPr>
  </w:style>
  <w:style w:type="paragraph" w:styleId="List3">
    <w:name w:val="List 3"/>
    <w:basedOn w:val="Normal"/>
    <w:semiHidden/>
    <w:rsid w:val="00B32DA7"/>
    <w:pPr>
      <w:ind w:left="849" w:hanging="283"/>
    </w:pPr>
  </w:style>
  <w:style w:type="paragraph" w:styleId="List4">
    <w:name w:val="List 4"/>
    <w:basedOn w:val="Normal"/>
    <w:semiHidden/>
    <w:rsid w:val="00B32DA7"/>
    <w:pPr>
      <w:ind w:left="1132" w:hanging="283"/>
    </w:pPr>
  </w:style>
  <w:style w:type="paragraph" w:styleId="List5">
    <w:name w:val="List 5"/>
    <w:basedOn w:val="Normal"/>
    <w:semiHidden/>
    <w:rsid w:val="00B32DA7"/>
    <w:pPr>
      <w:ind w:left="1415" w:hanging="283"/>
    </w:pPr>
  </w:style>
  <w:style w:type="paragraph" w:styleId="ListBullet">
    <w:name w:val="List Bullet"/>
    <w:basedOn w:val="Normal"/>
    <w:autoRedefine/>
    <w:semiHidden/>
    <w:rsid w:val="00B32DA7"/>
    <w:pPr>
      <w:numPr>
        <w:numId w:val="6"/>
      </w:numPr>
    </w:pPr>
  </w:style>
  <w:style w:type="paragraph" w:styleId="ListBullet2">
    <w:name w:val="List Bullet 2"/>
    <w:basedOn w:val="Normal"/>
    <w:autoRedefine/>
    <w:semiHidden/>
    <w:rsid w:val="00B32DA7"/>
    <w:pPr>
      <w:numPr>
        <w:numId w:val="7"/>
      </w:numPr>
    </w:pPr>
  </w:style>
  <w:style w:type="paragraph" w:styleId="ListBullet3">
    <w:name w:val="List Bullet 3"/>
    <w:basedOn w:val="Normal"/>
    <w:autoRedefine/>
    <w:semiHidden/>
    <w:rsid w:val="00B32DA7"/>
    <w:pPr>
      <w:numPr>
        <w:numId w:val="8"/>
      </w:numPr>
    </w:pPr>
  </w:style>
  <w:style w:type="paragraph" w:styleId="ListBullet4">
    <w:name w:val="List Bullet 4"/>
    <w:basedOn w:val="Normal"/>
    <w:autoRedefine/>
    <w:semiHidden/>
    <w:rsid w:val="00B32DA7"/>
    <w:pPr>
      <w:numPr>
        <w:numId w:val="9"/>
      </w:numPr>
    </w:pPr>
  </w:style>
  <w:style w:type="paragraph" w:styleId="ListBullet5">
    <w:name w:val="List Bullet 5"/>
    <w:basedOn w:val="Normal"/>
    <w:autoRedefine/>
    <w:semiHidden/>
    <w:rsid w:val="00B32DA7"/>
    <w:pPr>
      <w:numPr>
        <w:numId w:val="10"/>
      </w:numPr>
    </w:pPr>
  </w:style>
  <w:style w:type="paragraph" w:styleId="ListContinue">
    <w:name w:val="List Continue"/>
    <w:basedOn w:val="Normal"/>
    <w:semiHidden/>
    <w:rsid w:val="00B32DA7"/>
    <w:pPr>
      <w:spacing w:after="120"/>
      <w:ind w:left="283"/>
    </w:pPr>
  </w:style>
  <w:style w:type="paragraph" w:styleId="ListContinue2">
    <w:name w:val="List Continue 2"/>
    <w:basedOn w:val="Normal"/>
    <w:semiHidden/>
    <w:rsid w:val="00B32DA7"/>
    <w:pPr>
      <w:spacing w:after="120"/>
      <w:ind w:left="566"/>
    </w:pPr>
  </w:style>
  <w:style w:type="paragraph" w:styleId="ListContinue3">
    <w:name w:val="List Continue 3"/>
    <w:basedOn w:val="Normal"/>
    <w:semiHidden/>
    <w:rsid w:val="00B32DA7"/>
    <w:pPr>
      <w:spacing w:after="120"/>
      <w:ind w:left="849"/>
    </w:pPr>
  </w:style>
  <w:style w:type="paragraph" w:styleId="ListContinue4">
    <w:name w:val="List Continue 4"/>
    <w:basedOn w:val="Normal"/>
    <w:semiHidden/>
    <w:rsid w:val="00B32DA7"/>
    <w:pPr>
      <w:spacing w:after="120"/>
      <w:ind w:left="1132"/>
    </w:pPr>
  </w:style>
  <w:style w:type="paragraph" w:styleId="ListContinue5">
    <w:name w:val="List Continue 5"/>
    <w:basedOn w:val="Normal"/>
    <w:semiHidden/>
    <w:rsid w:val="00B32DA7"/>
    <w:pPr>
      <w:spacing w:after="120"/>
      <w:ind w:left="1415"/>
    </w:pPr>
  </w:style>
  <w:style w:type="paragraph" w:styleId="ListNumber">
    <w:name w:val="List Number"/>
    <w:basedOn w:val="Normal"/>
    <w:semiHidden/>
    <w:rsid w:val="00B32DA7"/>
    <w:pPr>
      <w:numPr>
        <w:numId w:val="11"/>
      </w:numPr>
    </w:pPr>
  </w:style>
  <w:style w:type="paragraph" w:styleId="ListNumber2">
    <w:name w:val="List Number 2"/>
    <w:basedOn w:val="Normal"/>
    <w:semiHidden/>
    <w:rsid w:val="00B32DA7"/>
    <w:pPr>
      <w:numPr>
        <w:numId w:val="12"/>
      </w:numPr>
    </w:pPr>
  </w:style>
  <w:style w:type="paragraph" w:styleId="ListNumber3">
    <w:name w:val="List Number 3"/>
    <w:basedOn w:val="Normal"/>
    <w:semiHidden/>
    <w:rsid w:val="00B32DA7"/>
    <w:pPr>
      <w:numPr>
        <w:numId w:val="13"/>
      </w:numPr>
    </w:pPr>
  </w:style>
  <w:style w:type="paragraph" w:styleId="ListNumber4">
    <w:name w:val="List Number 4"/>
    <w:basedOn w:val="Normal"/>
    <w:semiHidden/>
    <w:rsid w:val="00B32DA7"/>
    <w:pPr>
      <w:numPr>
        <w:numId w:val="14"/>
      </w:numPr>
    </w:pPr>
  </w:style>
  <w:style w:type="paragraph" w:styleId="ListNumber5">
    <w:name w:val="List Number 5"/>
    <w:basedOn w:val="Normal"/>
    <w:semiHidden/>
    <w:rsid w:val="00B32DA7"/>
    <w:pPr>
      <w:numPr>
        <w:numId w:val="15"/>
      </w:numPr>
    </w:pPr>
  </w:style>
  <w:style w:type="paragraph" w:styleId="MacroText">
    <w:name w:val="macro"/>
    <w:semiHidden/>
    <w:rsid w:val="00B32DA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  <w:lang w:eastAsia="en-US"/>
    </w:rPr>
  </w:style>
  <w:style w:type="paragraph" w:styleId="MessageHeader">
    <w:name w:val="Message Header"/>
    <w:basedOn w:val="Normal"/>
    <w:semiHidden/>
    <w:rsid w:val="00B32D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B32DA7"/>
    <w:rPr>
      <w:szCs w:val="24"/>
    </w:rPr>
  </w:style>
  <w:style w:type="paragraph" w:styleId="NormalIndent">
    <w:name w:val="Normal Indent"/>
    <w:basedOn w:val="Normal"/>
    <w:semiHidden/>
    <w:rsid w:val="00B32DA7"/>
    <w:pPr>
      <w:ind w:left="720"/>
    </w:pPr>
  </w:style>
  <w:style w:type="paragraph" w:styleId="NoteHeading">
    <w:name w:val="Note Heading"/>
    <w:basedOn w:val="Normal"/>
    <w:next w:val="Normal"/>
    <w:semiHidden/>
    <w:rsid w:val="00B32DA7"/>
  </w:style>
  <w:style w:type="paragraph" w:styleId="PlainText">
    <w:name w:val="Plain Text"/>
    <w:basedOn w:val="Normal"/>
    <w:semiHidden/>
    <w:rsid w:val="00B32DA7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B32DA7"/>
  </w:style>
  <w:style w:type="paragraph" w:styleId="Signature">
    <w:name w:val="Signature"/>
    <w:basedOn w:val="Normal"/>
    <w:semiHidden/>
    <w:rsid w:val="00B32DA7"/>
    <w:pPr>
      <w:ind w:left="4252"/>
    </w:pPr>
  </w:style>
  <w:style w:type="character" w:styleId="Strong">
    <w:name w:val="Strong"/>
    <w:basedOn w:val="DefaultParagraphFont"/>
    <w:qFormat/>
    <w:rsid w:val="00B32DA7"/>
    <w:rPr>
      <w:b/>
      <w:bCs/>
    </w:rPr>
  </w:style>
  <w:style w:type="paragraph" w:styleId="Subtitle">
    <w:name w:val="Subtitle"/>
    <w:basedOn w:val="Normal"/>
    <w:qFormat/>
    <w:rsid w:val="00B32DA7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B32DA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32DA7"/>
    <w:pPr>
      <w:ind w:left="480" w:hanging="480"/>
    </w:pPr>
  </w:style>
  <w:style w:type="paragraph" w:styleId="Title">
    <w:name w:val="Title"/>
    <w:basedOn w:val="Normal"/>
    <w:qFormat/>
    <w:rsid w:val="00B32D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32DA7"/>
    <w:pPr>
      <w:spacing w:before="120"/>
    </w:pPr>
    <w:rPr>
      <w:rFonts w:ascii="Arial" w:hAnsi="Arial" w:cs="Arial"/>
      <w:b/>
      <w:bCs/>
      <w:szCs w:val="24"/>
    </w:rPr>
  </w:style>
  <w:style w:type="paragraph" w:styleId="TOC2">
    <w:name w:val="toc 2"/>
    <w:basedOn w:val="Normal"/>
    <w:next w:val="Normal"/>
    <w:autoRedefine/>
    <w:semiHidden/>
    <w:rsid w:val="00B32DA7"/>
    <w:pPr>
      <w:ind w:left="240"/>
    </w:pPr>
  </w:style>
  <w:style w:type="paragraph" w:styleId="TOC3">
    <w:name w:val="toc 3"/>
    <w:basedOn w:val="Normal"/>
    <w:next w:val="Normal"/>
    <w:autoRedefine/>
    <w:semiHidden/>
    <w:rsid w:val="00B32DA7"/>
    <w:pPr>
      <w:ind w:left="480"/>
    </w:pPr>
  </w:style>
  <w:style w:type="paragraph" w:styleId="TOC4">
    <w:name w:val="toc 4"/>
    <w:basedOn w:val="Normal"/>
    <w:next w:val="Normal"/>
    <w:autoRedefine/>
    <w:semiHidden/>
    <w:rsid w:val="00B32DA7"/>
    <w:pPr>
      <w:ind w:left="720"/>
    </w:pPr>
  </w:style>
  <w:style w:type="paragraph" w:styleId="TOC5">
    <w:name w:val="toc 5"/>
    <w:basedOn w:val="Normal"/>
    <w:next w:val="Normal"/>
    <w:autoRedefine/>
    <w:semiHidden/>
    <w:rsid w:val="00B32DA7"/>
    <w:pPr>
      <w:ind w:left="960"/>
    </w:pPr>
  </w:style>
  <w:style w:type="paragraph" w:styleId="TOC6">
    <w:name w:val="toc 6"/>
    <w:basedOn w:val="Normal"/>
    <w:next w:val="Normal"/>
    <w:autoRedefine/>
    <w:semiHidden/>
    <w:rsid w:val="00B32DA7"/>
    <w:pPr>
      <w:ind w:left="1200"/>
    </w:pPr>
  </w:style>
  <w:style w:type="paragraph" w:styleId="TOC7">
    <w:name w:val="toc 7"/>
    <w:basedOn w:val="Normal"/>
    <w:next w:val="Normal"/>
    <w:autoRedefine/>
    <w:semiHidden/>
    <w:rsid w:val="00B32DA7"/>
    <w:pPr>
      <w:ind w:left="1440"/>
    </w:pPr>
  </w:style>
  <w:style w:type="paragraph" w:styleId="TOC8">
    <w:name w:val="toc 8"/>
    <w:basedOn w:val="Normal"/>
    <w:next w:val="Normal"/>
    <w:autoRedefine/>
    <w:semiHidden/>
    <w:rsid w:val="00B32DA7"/>
    <w:pPr>
      <w:ind w:left="1680"/>
    </w:pPr>
  </w:style>
  <w:style w:type="paragraph" w:styleId="TOC9">
    <w:name w:val="toc 9"/>
    <w:basedOn w:val="Normal"/>
    <w:next w:val="Normal"/>
    <w:autoRedefine/>
    <w:semiHidden/>
    <w:rsid w:val="00B32DA7"/>
    <w:pPr>
      <w:ind w:left="1920"/>
    </w:pPr>
  </w:style>
  <w:style w:type="paragraph" w:customStyle="1" w:styleId="T15TextBody">
    <w:name w:val="T15TextBody"/>
    <w:rsid w:val="003A690A"/>
    <w:rPr>
      <w:rFonts w:ascii="Sabon" w:hAnsi="Sabo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.org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uc.org.uk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T08%20Brief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01B26-F75D-4208-9D5D-EEF7E023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T08 Briefing</Template>
  <TotalTime>1</TotalTime>
  <Pages>4</Pages>
  <Words>1350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ARIS</Company>
  <LinksUpToDate>false</LinksUpToDate>
  <CharactersWithSpaces>8682</CharactersWithSpaces>
  <SharedDoc>false</SharedDoc>
  <HLinks>
    <vt:vector size="24" baseType="variant">
      <vt:variant>
        <vt:i4>7209020</vt:i4>
      </vt:variant>
      <vt:variant>
        <vt:i4>-1</vt:i4>
      </vt:variant>
      <vt:variant>
        <vt:i4>1039</vt:i4>
      </vt:variant>
      <vt:variant>
        <vt:i4>4</vt:i4>
      </vt:variant>
      <vt:variant>
        <vt:lpwstr>http://www.tuc.org.uk/</vt:lpwstr>
      </vt:variant>
      <vt:variant>
        <vt:lpwstr/>
      </vt:variant>
      <vt:variant>
        <vt:i4>6357073</vt:i4>
      </vt:variant>
      <vt:variant>
        <vt:i4>-1</vt:i4>
      </vt:variant>
      <vt:variant>
        <vt:i4>1039</vt:i4>
      </vt:variant>
      <vt:variant>
        <vt:i4>1</vt:i4>
      </vt:variant>
      <vt:variant>
        <vt:lpwstr>images\committee size TUC logo.bmp</vt:lpwstr>
      </vt:variant>
      <vt:variant>
        <vt:lpwstr/>
      </vt:variant>
      <vt:variant>
        <vt:i4>7209020</vt:i4>
      </vt:variant>
      <vt:variant>
        <vt:i4>-1</vt:i4>
      </vt:variant>
      <vt:variant>
        <vt:i4>2059</vt:i4>
      </vt:variant>
      <vt:variant>
        <vt:i4>4</vt:i4>
      </vt:variant>
      <vt:variant>
        <vt:lpwstr>http://www.tuc.org.uk/</vt:lpwstr>
      </vt:variant>
      <vt:variant>
        <vt:lpwstr/>
      </vt:variant>
      <vt:variant>
        <vt:i4>2490374</vt:i4>
      </vt:variant>
      <vt:variant>
        <vt:i4>-1</vt:i4>
      </vt:variant>
      <vt:variant>
        <vt:i4>2059</vt:i4>
      </vt:variant>
      <vt:variant>
        <vt:i4>1</vt:i4>
      </vt:variant>
      <vt:variant>
        <vt:lpwstr>images\TUC logo.bmp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reedh</dc:creator>
  <cp:lastModifiedBy>tudoro</cp:lastModifiedBy>
  <cp:revision>2</cp:revision>
  <cp:lastPrinted>2014-02-21T17:05:00Z</cp:lastPrinted>
  <dcterms:created xsi:type="dcterms:W3CDTF">2014-03-14T14:37:00Z</dcterms:created>
  <dcterms:modified xsi:type="dcterms:W3CDTF">2014-03-14T14:37:00Z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C_frmCoverSelector">
    <vt:lpwstr>C0I0</vt:lpwstr>
  </property>
</Properties>
</file>