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D564DF">
        <w:tblPrEx>
          <w:tblCellMar>
            <w:top w:w="0" w:type="dxa"/>
            <w:bottom w:w="0" w:type="dxa"/>
          </w:tblCellMar>
        </w:tblPrEx>
        <w:trPr>
          <w:trHeight w:hRule="exact" w:val="1134"/>
        </w:trPr>
        <w:tc>
          <w:tcPr>
            <w:tcW w:w="5495" w:type="dxa"/>
          </w:tcPr>
          <w:p w:rsidR="00D564DF" w:rsidRDefault="002020D7">
            <w:pPr>
              <w:pStyle w:val="T15TextBody"/>
            </w:pPr>
            <w:r>
              <w:rPr>
                <w:noProof/>
                <w:sz w:val="20"/>
                <w:lang w:eastAsia="en-GB"/>
              </w:rPr>
              <w:drawing>
                <wp:anchor distT="0" distB="0" distL="114300" distR="114300" simplePos="0" relativeHeight="251658752" behindDoc="1" locked="1" layoutInCell="1" allowOverlap="1">
                  <wp:simplePos x="0" y="0"/>
                  <wp:positionH relativeFrom="page">
                    <wp:posOffset>-7620</wp:posOffset>
                  </wp:positionH>
                  <wp:positionV relativeFrom="page">
                    <wp:posOffset>309880</wp:posOffset>
                  </wp:positionV>
                  <wp:extent cx="1705610" cy="295275"/>
                  <wp:effectExtent l="19050" t="0" r="8890" b="0"/>
                  <wp:wrapNone/>
                  <wp:docPr id="4" name="BlueT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UC"/>
                          <pic:cNvPicPr>
                            <a:picLocks noChangeAspect="1" noChangeArrowheads="1"/>
                          </pic:cNvPicPr>
                        </pic:nvPicPr>
                        <pic:blipFill>
                          <a:blip r:embed="rId7" cstate="print"/>
                          <a:srcRect/>
                          <a:stretch>
                            <a:fillRect/>
                          </a:stretch>
                        </pic:blipFill>
                        <pic:spPr bwMode="auto">
                          <a:xfrm>
                            <a:off x="0" y="0"/>
                            <a:ext cx="1705610" cy="295275"/>
                          </a:xfrm>
                          <a:prstGeom prst="rect">
                            <a:avLst/>
                          </a:prstGeom>
                          <a:noFill/>
                          <a:ln w="9525">
                            <a:noFill/>
                            <a:miter lim="800000"/>
                            <a:headEnd/>
                            <a:tailEnd/>
                          </a:ln>
                        </pic:spPr>
                      </pic:pic>
                    </a:graphicData>
                  </a:graphic>
                </wp:anchor>
              </w:drawing>
            </w:r>
            <w:r w:rsidR="00D564DF">
              <w:rPr>
                <w:noProof/>
                <w:sz w:val="20"/>
                <w:lang w:val="en-US"/>
              </w:rPr>
              <w:pict>
                <v:shapetype id="_x0000_t202" coordsize="21600,21600" o:spt="202" path="m,l,21600r21600,l21600,xe">
                  <v:stroke joinstyle="miter"/>
                  <v:path gradientshapeok="t" o:connecttype="rect"/>
                </v:shapetype>
                <v:shape id="shpFooter_blue" o:spid="_x0000_s1027" type="#_x0000_t202" style="position:absolute;margin-left:-6pt;margin-top:673.15pt;width:510.7pt;height:62.5pt;z-index:-251658752;visibility:visible;mso-position-horizontal-relative:text;mso-position-vertical-relative:page" filled="f" stroked="f">
                  <v:textbox style="mso-next-textbox:#shpFooter_blue">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8" w:tooltip="Link to: TUC homepage" w:history="1">
                          <w:r>
                            <w:rPr>
                              <w:rStyle w:val="Hyperlink"/>
                              <w:lang w:val="en-US"/>
                            </w:rPr>
                            <w:t>www.tuc.</w:t>
                          </w:r>
                          <w:r>
                            <w:rPr>
                              <w:rStyle w:val="Hyperlink"/>
                              <w:lang w:val="en-US"/>
                            </w:rPr>
                            <w:t>o</w:t>
                          </w:r>
                          <w:r>
                            <w:rPr>
                              <w:rStyle w:val="Hyperlink"/>
                              <w:lang w:val="en-US"/>
                            </w:rPr>
                            <w:t>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v:textbox>
                  <w10:wrap anchory="page"/>
                  <w10:anchorlock/>
                </v:shape>
              </w:pict>
            </w:r>
            <w:r>
              <w:rPr>
                <w:noProof/>
                <w:sz w:val="20"/>
                <w:lang w:eastAsia="en-GB"/>
              </w:rPr>
              <w:drawing>
                <wp:anchor distT="0" distB="0" distL="114300" distR="114300" simplePos="0" relativeHeight="251656704"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8"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8" tooltip="Link to: TUC homepage"/>
                          </pic:cNvPr>
                          <pic:cNvPicPr>
                            <a:picLocks noChangeAspect="1" noChangeArrowheads="1"/>
                          </pic:cNvPicPr>
                        </pic:nvPicPr>
                        <pic:blipFill>
                          <a:blip r:embed="rId9"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D564DF" w:rsidRDefault="00D564DF">
            <w:pPr>
              <w:pStyle w:val="T15ContactsDescriptors"/>
              <w:rPr>
                <w:vanish/>
              </w:rPr>
            </w:pPr>
          </w:p>
        </w:tc>
      </w:tr>
      <w:tr w:rsidR="00D564DF">
        <w:tblPrEx>
          <w:tblCellMar>
            <w:top w:w="0" w:type="dxa"/>
            <w:bottom w:w="0" w:type="dxa"/>
          </w:tblCellMar>
        </w:tblPrEx>
        <w:trPr>
          <w:trHeight w:val="3395"/>
        </w:trPr>
        <w:tc>
          <w:tcPr>
            <w:tcW w:w="5495" w:type="dxa"/>
          </w:tcPr>
          <w:p w:rsidR="002020D7" w:rsidRPr="002020D7" w:rsidRDefault="002020D7" w:rsidP="002020D7">
            <w:pPr>
              <w:pStyle w:val="T15TextBody"/>
            </w:pPr>
            <w:r w:rsidRPr="002020D7">
              <w:t>H.E. Hun Sen</w:t>
            </w:r>
          </w:p>
          <w:p w:rsidR="002020D7" w:rsidRPr="002020D7" w:rsidRDefault="002020D7" w:rsidP="002020D7">
            <w:pPr>
              <w:pStyle w:val="T15TextBody"/>
            </w:pPr>
            <w:r w:rsidRPr="002020D7">
              <w:t>Prime Minister</w:t>
            </w:r>
          </w:p>
          <w:p w:rsidR="002020D7" w:rsidRPr="002020D7" w:rsidRDefault="002020D7" w:rsidP="002020D7">
            <w:pPr>
              <w:pStyle w:val="T15TextBody"/>
            </w:pPr>
            <w:r w:rsidRPr="002020D7">
              <w:t>Royal Government of the Kingdom of Cambodia</w:t>
            </w:r>
          </w:p>
          <w:p w:rsidR="002020D7" w:rsidRDefault="002020D7" w:rsidP="002020D7">
            <w:pPr>
              <w:pStyle w:val="T15TextBody"/>
            </w:pPr>
            <w:r>
              <w:t>Phnom Penh</w:t>
            </w:r>
          </w:p>
          <w:p w:rsidR="002020D7" w:rsidRPr="002020D7" w:rsidRDefault="002020D7" w:rsidP="002020D7">
            <w:pPr>
              <w:pStyle w:val="T15TextBody"/>
            </w:pPr>
            <w:r w:rsidRPr="002020D7">
              <w:t>Cambodia</w:t>
            </w:r>
          </w:p>
          <w:p w:rsidR="002020D7" w:rsidRPr="007F7ED1" w:rsidRDefault="002020D7" w:rsidP="002020D7">
            <w:pPr>
              <w:pStyle w:val="Default"/>
              <w:rPr>
                <w:rFonts w:asciiTheme="minorHAnsi" w:hAnsiTheme="minorHAnsi"/>
                <w:color w:val="auto"/>
                <w:lang w:val="sv-SE"/>
              </w:rPr>
            </w:pPr>
          </w:p>
          <w:p w:rsidR="002020D7" w:rsidRPr="007F7ED1" w:rsidRDefault="002020D7" w:rsidP="002020D7">
            <w:pPr>
              <w:rPr>
                <w:rFonts w:cs="Arial"/>
                <w:szCs w:val="24"/>
                <w:lang w:val="sv-SE"/>
              </w:rPr>
            </w:pPr>
            <w:hyperlink r:id="rId10" w:history="1">
              <w:r w:rsidRPr="007F7ED1">
                <w:rPr>
                  <w:rStyle w:val="Hyperlink"/>
                  <w:rFonts w:cs="Arial"/>
                  <w:szCs w:val="24"/>
                  <w:lang w:val="sv-SE"/>
                </w:rPr>
                <w:t>cabinet1b@camnet.com.kh</w:t>
              </w:r>
            </w:hyperlink>
          </w:p>
          <w:p w:rsidR="00D564DF" w:rsidRDefault="00D564DF">
            <w:pPr>
              <w:tabs>
                <w:tab w:val="left" w:pos="1847"/>
              </w:tabs>
            </w:pPr>
          </w:p>
        </w:tc>
        <w:tc>
          <w:tcPr>
            <w:tcW w:w="4469" w:type="dxa"/>
          </w:tcPr>
          <w:p w:rsidR="00D564DF" w:rsidRDefault="00D564DF">
            <w:pPr>
              <w:pStyle w:val="T15ContactsDescriptors"/>
              <w:rPr>
                <w:rFonts w:cs="Segoe UI"/>
                <w:sz w:val="24"/>
              </w:rPr>
            </w:pPr>
            <w:bookmarkStart w:id="0" w:name="bmOurRefLine"/>
            <w:r>
              <w:rPr>
                <w:rFonts w:cs="Segoe UI"/>
              </w:rPr>
              <w:t xml:space="preserve">our ref </w:t>
            </w:r>
            <w:r>
              <w:rPr>
                <w:rFonts w:cs="Segoe UI"/>
              </w:rPr>
              <w:tab/>
            </w:r>
            <w:r w:rsidR="002020D7">
              <w:rPr>
                <w:rStyle w:val="T15Contacts"/>
                <w:rFonts w:cs="Segoe UI"/>
              </w:rPr>
              <w:t>Cambodia/fog/</w:t>
            </w:r>
            <w:proofErr w:type="spellStart"/>
            <w:r w:rsidR="002020D7">
              <w:rPr>
                <w:rStyle w:val="T15Contacts"/>
                <w:rFonts w:cs="Segoe UI"/>
              </w:rPr>
              <w:t>ot</w:t>
            </w:r>
            <w:proofErr w:type="spellEnd"/>
          </w:p>
          <w:bookmarkEnd w:id="0"/>
          <w:p w:rsidR="00D564DF" w:rsidRDefault="00D564DF">
            <w:pPr>
              <w:pStyle w:val="T15ContactsDescriptors"/>
              <w:rPr>
                <w:rFonts w:cs="Segoe UI"/>
                <w:sz w:val="24"/>
              </w:rPr>
            </w:pPr>
            <w:r>
              <w:rPr>
                <w:rFonts w:cs="Segoe UI"/>
              </w:rPr>
              <w:t xml:space="preserve">date: </w:t>
            </w:r>
            <w:r>
              <w:rPr>
                <w:rFonts w:cs="Segoe UI"/>
              </w:rPr>
              <w:tab/>
            </w:r>
            <w:bookmarkStart w:id="1" w:name="bmGlobDate"/>
            <w:r w:rsidR="00F7793A">
              <w:rPr>
                <w:rStyle w:val="T15Contacts"/>
              </w:rPr>
              <w:t>3</w:t>
            </w:r>
            <w:r w:rsidR="002020D7" w:rsidRPr="002020D7">
              <w:rPr>
                <w:rStyle w:val="T15Contacts"/>
              </w:rPr>
              <w:t xml:space="preserve"> December 2015</w:t>
            </w:r>
            <w:bookmarkEnd w:id="1"/>
          </w:p>
          <w:p w:rsidR="00D564DF" w:rsidRDefault="00D564DF">
            <w:pPr>
              <w:pStyle w:val="T15ContactsDescriptors"/>
              <w:rPr>
                <w:rFonts w:cs="Segoe UI"/>
                <w:sz w:val="24"/>
              </w:rPr>
            </w:pPr>
            <w:r>
              <w:rPr>
                <w:rFonts w:cs="Segoe UI"/>
              </w:rPr>
              <w:t xml:space="preserve">contact: </w:t>
            </w:r>
            <w:r>
              <w:rPr>
                <w:rFonts w:cs="Segoe UI"/>
              </w:rPr>
              <w:tab/>
            </w:r>
            <w:bookmarkStart w:id="2" w:name="bmGlobName"/>
            <w:r w:rsidR="002020D7">
              <w:rPr>
                <w:rStyle w:val="T15Contacts"/>
                <w:rFonts w:cs="Segoe UI"/>
              </w:rPr>
              <w:t>Owen Tudor</w:t>
            </w:r>
            <w:bookmarkEnd w:id="2"/>
          </w:p>
          <w:p w:rsidR="00D564DF" w:rsidRDefault="00D564DF">
            <w:pPr>
              <w:pStyle w:val="T15ContactsDescriptors"/>
              <w:rPr>
                <w:rFonts w:cs="Segoe UI"/>
                <w:sz w:val="24"/>
              </w:rPr>
            </w:pPr>
            <w:r>
              <w:rPr>
                <w:rFonts w:cs="Segoe UI"/>
              </w:rPr>
              <w:t>direct line:</w:t>
            </w:r>
            <w:r>
              <w:rPr>
                <w:rFonts w:cs="Segoe UI"/>
              </w:rPr>
              <w:tab/>
            </w:r>
            <w:bookmarkStart w:id="3" w:name="bmGlobTelephone"/>
            <w:r w:rsidR="002020D7">
              <w:rPr>
                <w:rStyle w:val="T15Contacts"/>
                <w:rFonts w:cs="Segoe UI"/>
              </w:rPr>
              <w:t>+44 (20) 7467 1325</w:t>
            </w:r>
            <w:bookmarkEnd w:id="3"/>
          </w:p>
          <w:p w:rsidR="00D564DF" w:rsidRDefault="00D564DF">
            <w:pPr>
              <w:pStyle w:val="T15ContactsDescriptors"/>
            </w:pPr>
            <w:r>
              <w:rPr>
                <w:rFonts w:cs="Segoe UI"/>
              </w:rPr>
              <w:t xml:space="preserve">email: </w:t>
            </w:r>
            <w:r>
              <w:rPr>
                <w:rFonts w:cs="Segoe UI"/>
              </w:rPr>
              <w:tab/>
            </w:r>
            <w:bookmarkStart w:id="4" w:name="bmGlobEmail"/>
            <w:r w:rsidR="002020D7">
              <w:rPr>
                <w:rStyle w:val="T15Contacts"/>
                <w:rFonts w:cs="Segoe UI"/>
              </w:rPr>
              <w:t>otudor@tuc.org.uk</w:t>
            </w:r>
            <w:bookmarkEnd w:id="4"/>
          </w:p>
        </w:tc>
      </w:tr>
    </w:tbl>
    <w:p w:rsidR="002020D7" w:rsidRDefault="002020D7">
      <w:pPr>
        <w:pStyle w:val="T15TextBody"/>
      </w:pPr>
      <w:bookmarkStart w:id="5" w:name="bmSalutation"/>
    </w:p>
    <w:p w:rsidR="00D564DF" w:rsidRDefault="00D564DF">
      <w:pPr>
        <w:pStyle w:val="T15TextBody"/>
      </w:pPr>
      <w:r>
        <w:t xml:space="preserve">Dear </w:t>
      </w:r>
      <w:bookmarkEnd w:id="5"/>
      <w:r w:rsidR="002020D7">
        <w:t>Prime Minister</w:t>
      </w:r>
    </w:p>
    <w:p w:rsidR="00D564DF" w:rsidRDefault="00D564DF">
      <w:pPr>
        <w:pStyle w:val="T15TextBody"/>
      </w:pPr>
    </w:p>
    <w:p w:rsidR="00D564DF" w:rsidRDefault="002020D7">
      <w:pPr>
        <w:pStyle w:val="T15SubjectHeader"/>
        <w:rPr>
          <w:szCs w:val="24"/>
        </w:rPr>
      </w:pPr>
      <w:bookmarkStart w:id="6" w:name="bmInsertionPoint"/>
      <w:bookmarkEnd w:id="6"/>
      <w:r>
        <w:t>Trade union law in Cambodia</w:t>
      </w:r>
    </w:p>
    <w:p w:rsidR="002020D7" w:rsidRPr="007F7ED1" w:rsidRDefault="002020D7" w:rsidP="002020D7">
      <w:pPr>
        <w:pStyle w:val="T15TextBody"/>
      </w:pPr>
      <w:r>
        <w:t>Further to my letter to you of 10 August, on behalf of 6 million British trade unionists</w:t>
      </w:r>
      <w:r w:rsidRPr="007F7ED1">
        <w:t>, I urge you to engage immediately in meaningful consultations with trade unions on the proposed Trade Union Law.</w:t>
      </w:r>
    </w:p>
    <w:p w:rsidR="002020D7" w:rsidRPr="007F7ED1" w:rsidRDefault="002020D7" w:rsidP="002020D7">
      <w:pPr>
        <w:jc w:val="both"/>
        <w:rPr>
          <w:rFonts w:cs="Arial"/>
          <w:szCs w:val="24"/>
        </w:rPr>
      </w:pPr>
    </w:p>
    <w:p w:rsidR="002020D7" w:rsidRPr="007F7ED1" w:rsidRDefault="002020D7" w:rsidP="002020D7">
      <w:pPr>
        <w:pStyle w:val="T15TextBody"/>
      </w:pPr>
      <w:r w:rsidRPr="007F7ED1">
        <w:t xml:space="preserve">This critically important legislation was submitted to the Council of Ministers on 13 November 2015 and is about to be submitted to the </w:t>
      </w:r>
      <w:r w:rsidRPr="002020D7">
        <w:t>National</w:t>
      </w:r>
      <w:r w:rsidRPr="007F7ED1">
        <w:t xml:space="preserve"> Assembly for urgent adoption. However, there has been a complete lack of consultation with trade unions, at least since October 2014. During that time, </w:t>
      </w:r>
      <w:r w:rsidRPr="007F7ED1">
        <w:rPr>
          <w:lang/>
        </w:rPr>
        <w:t xml:space="preserve">trade unions </w:t>
      </w:r>
      <w:r>
        <w:rPr>
          <w:lang/>
        </w:rPr>
        <w:t xml:space="preserve">have </w:t>
      </w:r>
      <w:r w:rsidRPr="007F7ED1">
        <w:rPr>
          <w:lang/>
        </w:rPr>
        <w:t xml:space="preserve">had no input and little reliable information on amendments until the draft was released in late November 2015. </w:t>
      </w:r>
      <w:r w:rsidRPr="007F7ED1">
        <w:t xml:space="preserve">It is our understanding however that employers, and especially garment manufacturers, have had consistent access and influence on the draft law. </w:t>
      </w:r>
    </w:p>
    <w:p w:rsidR="002020D7" w:rsidRPr="007F7ED1" w:rsidRDefault="002020D7" w:rsidP="002020D7">
      <w:pPr>
        <w:jc w:val="both"/>
        <w:rPr>
          <w:rFonts w:cs="Arial"/>
          <w:color w:val="333333"/>
          <w:szCs w:val="24"/>
          <w:lang/>
        </w:rPr>
      </w:pPr>
    </w:p>
    <w:p w:rsidR="002020D7" w:rsidRPr="007F7ED1" w:rsidRDefault="002020D7" w:rsidP="002020D7">
      <w:pPr>
        <w:pStyle w:val="T15TextBody"/>
        <w:rPr>
          <w:lang/>
        </w:rPr>
      </w:pPr>
      <w:r w:rsidRPr="007F7ED1">
        <w:rPr>
          <w:lang/>
        </w:rPr>
        <w:t>The International Trade Union Confederation has recently reviewed the proposed Trade Union Law, together with its Cambodian affiliates. While some of the issues they had previously identified have been resolved, the law remains far out of compliance with</w:t>
      </w:r>
      <w:r>
        <w:rPr>
          <w:lang/>
        </w:rPr>
        <w:t xml:space="preserve"> the fundamental</w:t>
      </w:r>
      <w:r w:rsidRPr="007F7ED1">
        <w:rPr>
          <w:lang/>
        </w:rPr>
        <w:t xml:space="preserve"> ILO Conventions 87 and 98. </w:t>
      </w:r>
      <w:r w:rsidRPr="002020D7">
        <w:rPr>
          <w:i/>
          <w:lang/>
        </w:rPr>
        <w:t>Attached</w:t>
      </w:r>
      <w:r>
        <w:rPr>
          <w:lang/>
        </w:rPr>
        <w:t xml:space="preserve"> is a list of the Cambodian unions’ priority amendments.</w:t>
      </w:r>
      <w:r w:rsidRPr="007F7ED1">
        <w:rPr>
          <w:lang/>
        </w:rPr>
        <w:t xml:space="preserve"> </w:t>
      </w:r>
    </w:p>
    <w:p w:rsidR="002020D7" w:rsidRPr="007F7ED1" w:rsidRDefault="002020D7" w:rsidP="002020D7">
      <w:pPr>
        <w:jc w:val="both"/>
        <w:rPr>
          <w:rFonts w:cs="Arial"/>
          <w:szCs w:val="24"/>
          <w:lang/>
        </w:rPr>
      </w:pPr>
    </w:p>
    <w:p w:rsidR="002020D7" w:rsidRPr="007F7ED1" w:rsidRDefault="002020D7" w:rsidP="002020D7">
      <w:pPr>
        <w:pStyle w:val="T15TextBody"/>
        <w:rPr>
          <w:lang/>
        </w:rPr>
      </w:pPr>
      <w:r w:rsidRPr="007F7ED1">
        <w:rPr>
          <w:lang/>
        </w:rPr>
        <w:t xml:space="preserve">We believe that the legislation and enactment of the Trade Union Law is a good opportunity for the Cambodian government and </w:t>
      </w:r>
      <w:r w:rsidRPr="002020D7">
        <w:t>employers</w:t>
      </w:r>
      <w:r w:rsidRPr="007F7ED1">
        <w:rPr>
          <w:lang/>
        </w:rPr>
        <w:t xml:space="preserve"> to rebuild international and domestic confidence in the country’s industrial relations. To do so the law should be grounded on the core principles of freedom of association and collective bargaining. </w:t>
      </w:r>
    </w:p>
    <w:p w:rsidR="002020D7" w:rsidRPr="007F7ED1" w:rsidRDefault="002020D7" w:rsidP="002020D7">
      <w:pPr>
        <w:jc w:val="both"/>
        <w:rPr>
          <w:rFonts w:cs="Arial"/>
          <w:szCs w:val="24"/>
          <w:lang/>
        </w:rPr>
      </w:pPr>
    </w:p>
    <w:p w:rsidR="002020D7" w:rsidRDefault="002020D7" w:rsidP="002020D7">
      <w:pPr>
        <w:pStyle w:val="T15TextBody"/>
        <w:rPr>
          <w:lang/>
        </w:rPr>
      </w:pPr>
    </w:p>
    <w:p w:rsidR="002020D7" w:rsidRDefault="002020D7" w:rsidP="002020D7">
      <w:pPr>
        <w:pStyle w:val="T15TextBody"/>
        <w:rPr>
          <w:lang/>
        </w:rPr>
      </w:pPr>
    </w:p>
    <w:p w:rsidR="002020D7" w:rsidRDefault="002020D7" w:rsidP="002020D7">
      <w:pPr>
        <w:pStyle w:val="T15TextBody"/>
        <w:rPr>
          <w:lang/>
        </w:rPr>
      </w:pPr>
    </w:p>
    <w:p w:rsidR="002020D7" w:rsidRPr="007F7ED1" w:rsidRDefault="002020D7" w:rsidP="002020D7">
      <w:pPr>
        <w:pStyle w:val="T15TextBody"/>
        <w:rPr>
          <w:lang/>
        </w:rPr>
      </w:pPr>
      <w:r>
        <w:rPr>
          <w:lang/>
        </w:rPr>
        <w:lastRenderedPageBreak/>
        <w:t xml:space="preserve">The TUC </w:t>
      </w:r>
      <w:r w:rsidRPr="007F7ED1">
        <w:rPr>
          <w:lang/>
        </w:rPr>
        <w:t>urge</w:t>
      </w:r>
      <w:r>
        <w:rPr>
          <w:lang/>
        </w:rPr>
        <w:t>s</w:t>
      </w:r>
      <w:r w:rsidRPr="007F7ED1">
        <w:rPr>
          <w:lang/>
        </w:rPr>
        <w:t xml:space="preserve"> the Cambodian government to consult meaningfully with trade unions and ensure that any proposed </w:t>
      </w:r>
      <w:r w:rsidRPr="002020D7">
        <w:t>Trade</w:t>
      </w:r>
      <w:r w:rsidRPr="007F7ED1">
        <w:rPr>
          <w:lang/>
        </w:rPr>
        <w:t xml:space="preserve"> Union law is consistent with ILO Conventions 87 and 98</w:t>
      </w:r>
      <w:r>
        <w:rPr>
          <w:lang/>
        </w:rPr>
        <w:t xml:space="preserve"> prior to sending it to P</w:t>
      </w:r>
      <w:r w:rsidRPr="007F7ED1">
        <w:rPr>
          <w:lang/>
        </w:rPr>
        <w:t xml:space="preserve">arliament for adoption. We shall oppose any law which does not fully respect the rights to freedom of association, to </w:t>
      </w:r>
      <w:proofErr w:type="spellStart"/>
      <w:r>
        <w:rPr>
          <w:lang/>
        </w:rPr>
        <w:t>organis</w:t>
      </w:r>
      <w:r w:rsidRPr="007F7ED1">
        <w:rPr>
          <w:lang/>
        </w:rPr>
        <w:t>e</w:t>
      </w:r>
      <w:proofErr w:type="spellEnd"/>
      <w:r w:rsidRPr="007F7ED1">
        <w:rPr>
          <w:lang/>
        </w:rPr>
        <w:t xml:space="preserve"> and to bargain collectively.</w:t>
      </w:r>
    </w:p>
    <w:p w:rsidR="008C5B32" w:rsidRDefault="008C5B32">
      <w:pPr>
        <w:pStyle w:val="T15TextBody"/>
      </w:pPr>
    </w:p>
    <w:p w:rsidR="00D564DF" w:rsidRDefault="00D564DF">
      <w:pPr>
        <w:pStyle w:val="T15TextBody"/>
      </w:pPr>
      <w:r>
        <w:t>Yours sincerely</w:t>
      </w:r>
    </w:p>
    <w:p w:rsidR="00D564DF" w:rsidRDefault="00D564DF">
      <w:pPr>
        <w:pStyle w:val="T15TextBody"/>
      </w:pPr>
    </w:p>
    <w:p w:rsidR="00D564DF" w:rsidRDefault="00C12788">
      <w:pPr>
        <w:pStyle w:val="T15TextBody"/>
        <w:rPr>
          <w:b/>
        </w:rPr>
      </w:pPr>
      <w:r>
        <w:rPr>
          <w:b/>
        </w:rPr>
        <w:t>FRANCES O’GRADY</w:t>
      </w:r>
    </w:p>
    <w:p w:rsidR="00C12788" w:rsidRDefault="00C12788">
      <w:pPr>
        <w:pStyle w:val="T15TextBody"/>
      </w:pPr>
    </w:p>
    <w:p w:rsidR="00D564DF" w:rsidRDefault="002020D7">
      <w:pPr>
        <w:pStyle w:val="T15TextBody"/>
      </w:pPr>
      <w:r>
        <w:t>General Secretary</w:t>
      </w:r>
    </w:p>
    <w:p w:rsidR="00D564DF" w:rsidRDefault="00D564DF">
      <w:pPr>
        <w:pStyle w:val="T15TextBody"/>
      </w:pPr>
    </w:p>
    <w:sectPr w:rsidR="00D564D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0D7" w:rsidRDefault="002020D7">
      <w:r>
        <w:separator/>
      </w:r>
    </w:p>
  </w:endnote>
  <w:endnote w:type="continuationSeparator" w:id="0">
    <w:p w:rsidR="002020D7" w:rsidRDefault="002020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framePr w:wrap="around" w:vAnchor="text" w:hAnchor="margin" w:xAlign="right" w:y="1"/>
    </w:pPr>
    <w:fldSimple w:instr="PAGE  ">
      <w:r>
        <w:rPr>
          <w:noProof/>
        </w:rPr>
        <w:t>1</w:t>
      </w:r>
    </w:fldSimple>
  </w:p>
  <w:p w:rsidR="008C5B32" w:rsidRDefault="008C5B3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tabs>
        <w:tab w:val="right" w:pos="9720"/>
      </w:tabs>
      <w:ind w:right="28"/>
    </w:pPr>
  </w:p>
  <w:p w:rsidR="008C5B32" w:rsidRDefault="008C5B32">
    <w:pPr>
      <w:tabs>
        <w:tab w:val="right" w:pos="9720"/>
      </w:tabs>
      <w:ind w:right="28"/>
    </w:pPr>
  </w:p>
  <w:p w:rsidR="008C5B32" w:rsidRDefault="008C5B32">
    <w:pPr>
      <w:tabs>
        <w:tab w:val="right" w:pos="9720"/>
      </w:tabs>
      <w:ind w:right="28"/>
      <w:rPr>
        <w:rFonts w:ascii="Frutiger 45" w:hAnsi="Frutiger 45"/>
        <w:sz w:val="18"/>
      </w:rPr>
    </w:pPr>
    <w:r>
      <w:tab/>
    </w:r>
    <w:r>
      <w:rPr>
        <w:rFonts w:ascii="Frutiger 45" w:hAnsi="Frutiger 45"/>
        <w:sz w:val="18"/>
      </w:rPr>
      <w:fldChar w:fldCharType="begin"/>
    </w:r>
    <w:r>
      <w:rPr>
        <w:rFonts w:ascii="Frutiger 45" w:hAnsi="Frutiger 45"/>
        <w:sz w:val="18"/>
      </w:rPr>
      <w:instrText xml:space="preserve"> PAGE </w:instrText>
    </w:r>
    <w:r>
      <w:rPr>
        <w:rFonts w:ascii="Frutiger 45" w:hAnsi="Frutiger 45"/>
        <w:sz w:val="18"/>
      </w:rPr>
      <w:fldChar w:fldCharType="separate"/>
    </w:r>
    <w:r w:rsidR="00C12788">
      <w:rPr>
        <w:rFonts w:ascii="Frutiger 45" w:hAnsi="Frutiger 45"/>
        <w:noProof/>
        <w:sz w:val="18"/>
      </w:rPr>
      <w:t>2</w:t>
    </w:r>
    <w:r>
      <w:rP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2020D7">
    <w:r>
      <w:rPr>
        <w:noProof/>
        <w:snapToGrid/>
        <w:lang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IIP"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8C5B32" w:rsidRDefault="002020D7">
    <w:r>
      <w:rPr>
        <w:noProof/>
        <w:snapToGrid/>
        <w:lang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LivingWage"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Wage"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0D7" w:rsidRDefault="002020D7">
      <w:r>
        <w:separator/>
      </w:r>
    </w:p>
  </w:footnote>
  <w:footnote w:type="continuationSeparator" w:id="0">
    <w:p w:rsidR="002020D7" w:rsidRDefault="00202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2020D7">
    <w:r>
      <w:rPr>
        <w:noProof/>
        <w:snapToGrid/>
        <w:lang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NextPageLogo" hidden="1">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PageLogo" hidden="1">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2020D7">
    <w:r>
      <w:rPr>
        <w:noProof/>
        <w:snapToGrid/>
        <w:lang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BE12D2"/>
    <w:lvl w:ilvl="0">
      <w:start w:val="1"/>
      <w:numFmt w:val="decimal"/>
      <w:pStyle w:val="Normal"/>
      <w:lvlText w:val="%1."/>
      <w:lvlJc w:val="left"/>
      <w:pPr>
        <w:tabs>
          <w:tab w:val="num" w:pos="1492"/>
        </w:tabs>
        <w:ind w:left="1492" w:hanging="360"/>
      </w:pPr>
    </w:lvl>
  </w:abstractNum>
  <w:abstractNum w:abstractNumId="1">
    <w:nsid w:val="FFFFFF7D"/>
    <w:multiLevelType w:val="singleLevel"/>
    <w:tmpl w:val="031C848A"/>
    <w:lvl w:ilvl="0">
      <w:start w:val="1"/>
      <w:numFmt w:val="decimal"/>
      <w:lvlText w:val="%1."/>
      <w:lvlJc w:val="left"/>
      <w:pPr>
        <w:tabs>
          <w:tab w:val="num" w:pos="1209"/>
        </w:tabs>
        <w:ind w:left="1209" w:hanging="360"/>
      </w:pPr>
    </w:lvl>
  </w:abstractNum>
  <w:abstractNum w:abstractNumId="2">
    <w:nsid w:val="FFFFFF7E"/>
    <w:multiLevelType w:val="singleLevel"/>
    <w:tmpl w:val="CCA8D41E"/>
    <w:lvl w:ilvl="0">
      <w:start w:val="1"/>
      <w:numFmt w:val="decimal"/>
      <w:pStyle w:val="Normal"/>
      <w:lvlText w:val="%1."/>
      <w:lvlJc w:val="left"/>
      <w:pPr>
        <w:tabs>
          <w:tab w:val="num" w:pos="926"/>
        </w:tabs>
        <w:ind w:left="926" w:hanging="360"/>
      </w:pPr>
    </w:lvl>
  </w:abstractNum>
  <w:abstractNum w:abstractNumId="3">
    <w:nsid w:val="FFFFFF7F"/>
    <w:multiLevelType w:val="singleLevel"/>
    <w:tmpl w:val="10D8AE9A"/>
    <w:lvl w:ilvl="0">
      <w:start w:val="1"/>
      <w:numFmt w:val="decimal"/>
      <w:pStyle w:val="Normal"/>
      <w:lvlText w:val="%1."/>
      <w:lvlJc w:val="left"/>
      <w:pPr>
        <w:tabs>
          <w:tab w:val="num" w:pos="643"/>
        </w:tabs>
        <w:ind w:left="643" w:hanging="360"/>
      </w:pPr>
    </w:lvl>
  </w:abstractNum>
  <w:abstractNum w:abstractNumId="4">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C14DA"/>
    <w:lvl w:ilvl="0">
      <w:start w:val="1"/>
      <w:numFmt w:val="bullet"/>
      <w:pStyle w:val="Normal"/>
      <w:lvlText w:val=""/>
      <w:lvlJc w:val="left"/>
      <w:pPr>
        <w:tabs>
          <w:tab w:val="num" w:pos="643"/>
        </w:tabs>
        <w:ind w:left="643" w:hanging="360"/>
      </w:pPr>
      <w:rPr>
        <w:rFonts w:ascii="Symbol" w:hAnsi="Symbol" w:hint="default"/>
      </w:rPr>
    </w:lvl>
  </w:abstractNum>
  <w:abstractNum w:abstractNumId="8">
    <w:nsid w:val="FFFFFF88"/>
    <w:multiLevelType w:val="singleLevel"/>
    <w:tmpl w:val="13E8FE50"/>
    <w:lvl w:ilvl="0">
      <w:start w:val="1"/>
      <w:numFmt w:val="decimal"/>
      <w:pStyle w:val="Heading2"/>
      <w:lvlText w:val="%1."/>
      <w:lvlJc w:val="left"/>
      <w:pPr>
        <w:tabs>
          <w:tab w:val="num" w:pos="360"/>
        </w:tabs>
        <w:ind w:left="360" w:hanging="360"/>
      </w:pPr>
    </w:lvl>
  </w:abstractNum>
  <w:abstractNum w:abstractNumId="9">
    <w:nsid w:val="FFFFFF89"/>
    <w:multiLevelType w:val="singleLevel"/>
    <w:tmpl w:val="82A0BCF6"/>
    <w:lvl w:ilvl="0">
      <w:start w:val="1"/>
      <w:numFmt w:val="bullet"/>
      <w:pStyle w:val="Heading8"/>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F7793A"/>
    <w:rsid w:val="00006D61"/>
    <w:rsid w:val="000F179F"/>
    <w:rsid w:val="002020D7"/>
    <w:rsid w:val="002E7D85"/>
    <w:rsid w:val="00566D6D"/>
    <w:rsid w:val="005E183E"/>
    <w:rsid w:val="008C5B32"/>
    <w:rsid w:val="00AB102A"/>
    <w:rsid w:val="00C12788"/>
    <w:rsid w:val="00D564DF"/>
    <w:rsid w:val="00DC1219"/>
    <w:rsid w:val="00E96B93"/>
    <w:rsid w:val="00F779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0"/>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96B93"/>
    <w:pPr>
      <w:widowControl w:val="0"/>
    </w:pPr>
    <w:rPr>
      <w:rFonts w:ascii="Minion Pro" w:hAnsi="Minion Pro"/>
      <w:snapToGrid w:val="0"/>
      <w:sz w:val="24"/>
      <w:lang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paragraph" w:styleId="Heading4">
    <w:name w:val="heading 4"/>
    <w:basedOn w:val="Normal"/>
    <w:next w:val="Normal"/>
    <w:semiHidden/>
    <w:qFormat/>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pPr>
      <w:spacing w:before="240" w:after="60"/>
      <w:outlineLvl w:val="4"/>
    </w:pPr>
    <w:rPr>
      <w:rFonts w:ascii="Sabon" w:hAnsi="Sabon"/>
      <w:b/>
      <w:bCs/>
      <w:i/>
      <w:iCs/>
      <w:sz w:val="26"/>
      <w:szCs w:val="26"/>
    </w:rPr>
  </w:style>
  <w:style w:type="paragraph" w:styleId="Heading6">
    <w:name w:val="heading 6"/>
    <w:basedOn w:val="Normal"/>
    <w:next w:val="Normal"/>
    <w:semiHidden/>
    <w:qFormat/>
    <w:pPr>
      <w:spacing w:before="240" w:after="60"/>
      <w:outlineLvl w:val="5"/>
    </w:pPr>
    <w:rPr>
      <w:rFonts w:ascii="Times New Roman" w:hAnsi="Times New Roman"/>
      <w:b/>
      <w:bCs/>
      <w:sz w:val="22"/>
      <w:szCs w:val="22"/>
    </w:rPr>
  </w:style>
  <w:style w:type="paragraph" w:styleId="Heading7">
    <w:name w:val="heading 7"/>
    <w:basedOn w:val="Normal"/>
    <w:next w:val="Normal"/>
    <w:semiHidden/>
    <w:qFormat/>
    <w:pPr>
      <w:spacing w:before="240" w:after="60"/>
      <w:outlineLvl w:val="6"/>
    </w:pPr>
    <w:rPr>
      <w:rFonts w:ascii="Times New Roman" w:hAnsi="Times New Roman"/>
      <w:szCs w:val="24"/>
    </w:rPr>
  </w:style>
  <w:style w:type="paragraph" w:styleId="Heading8">
    <w:name w:val="heading 8"/>
    <w:basedOn w:val="Normal"/>
    <w:next w:val="Normal"/>
    <w:semiHidden/>
    <w:qFormat/>
    <w:pPr>
      <w:spacing w:before="240" w:after="60"/>
      <w:outlineLvl w:val="7"/>
    </w:pPr>
    <w:rPr>
      <w:rFonts w:ascii="Times New Roman" w:hAnsi="Times New Roman"/>
      <w:i/>
      <w:iCs/>
      <w:szCs w:val="24"/>
    </w:rPr>
  </w:style>
  <w:style w:type="paragraph" w:styleId="Heading9">
    <w:name w:val="heading 9"/>
    <w:basedOn w:val="Normal"/>
    <w:next w:val="Normal"/>
    <w:semiHidden/>
    <w:qFormat/>
    <w:pPr>
      <w:spacing w:before="240" w:after="60"/>
      <w:outlineLvl w:val="8"/>
    </w:pPr>
    <w:rPr>
      <w:rFonts w:ascii="Arial" w:hAnsi="Arial" w:cs="Arial"/>
      <w:sz w:val="22"/>
      <w:szCs w:val="22"/>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T15TextBody">
    <w:name w:val="T15TextBody"/>
    <w:basedOn w:val="Normal"/>
    <w:qFormat/>
    <w:pPr>
      <w:widowControl/>
    </w:pPr>
    <w:rPr>
      <w:snapToGrid/>
    </w:rPr>
  </w:style>
  <w:style w:type="paragraph" w:customStyle="1" w:styleId="T15SubjectHeader">
    <w:name w:val="T15SubjectHeader"/>
    <w:basedOn w:val="T15TextBody"/>
    <w:next w:val="T15TextBody"/>
    <w:qFormat/>
    <w:pPr>
      <w:keepNext/>
      <w:spacing w:after="360"/>
    </w:pPr>
    <w:rPr>
      <w:rFonts w:ascii="Segoe UI" w:hAnsi="Segoe UI" w:cs="Segoe UI"/>
      <w:b/>
    </w:rPr>
  </w:style>
  <w:style w:type="paragraph" w:customStyle="1" w:styleId="T15ContactsDescriptors">
    <w:name w:val="T15ContactsDescriptors"/>
    <w:basedOn w:val="T15TextBody"/>
    <w:pPr>
      <w:tabs>
        <w:tab w:val="left" w:pos="900"/>
      </w:tabs>
      <w:spacing w:line="320" w:lineRule="exact"/>
    </w:pPr>
    <w:rPr>
      <w:sz w:val="16"/>
    </w:rPr>
  </w:style>
  <w:style w:type="character" w:customStyle="1" w:styleId="T15Contacts">
    <w:name w:val="T15Contacts"/>
    <w:rPr>
      <w:rFonts w:ascii="Minion Pro" w:hAnsi="Minion Pro"/>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T15Footer">
    <w:name w:val="T15Footer"/>
    <w:basedOn w:val="T15TextBody"/>
    <w:qFormat/>
    <w:rPr>
      <w:rFonts w:cs="Segoe UI"/>
      <w:noProof/>
      <w:color w:val="333399"/>
      <w:sz w:val="16"/>
    </w:rPr>
  </w:style>
  <w:style w:type="paragraph" w:styleId="Header">
    <w:name w:val="header"/>
    <w:basedOn w:val="Normal"/>
    <w:semiHidden/>
    <w:pPr>
      <w:tabs>
        <w:tab w:val="center" w:pos="4153"/>
        <w:tab w:val="right" w:pos="8306"/>
      </w:tabs>
    </w:pPr>
  </w:style>
  <w:style w:type="paragraph" w:customStyle="1" w:styleId="Address">
    <w:name w:val="Address"/>
    <w:basedOn w:val="Normal"/>
    <w:rsid w:val="002020D7"/>
    <w:pPr>
      <w:widowControl/>
      <w:ind w:left="4536"/>
    </w:pPr>
    <w:rPr>
      <w:rFonts w:ascii="Arial" w:hAnsi="Arial" w:cs="Arial"/>
      <w:snapToGrid/>
      <w:sz w:val="22"/>
      <w:szCs w:val="22"/>
    </w:rPr>
  </w:style>
  <w:style w:type="paragraph" w:customStyle="1" w:styleId="Default">
    <w:name w:val="Default"/>
    <w:rsid w:val="002020D7"/>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uiPriority w:val="99"/>
    <w:semiHidden/>
    <w:unhideWhenUsed/>
    <w:rsid w:val="00F7793A"/>
    <w:rPr>
      <w:rFonts w:ascii="Tahoma" w:hAnsi="Tahoma" w:cs="Tahoma"/>
      <w:sz w:val="16"/>
      <w:szCs w:val="16"/>
    </w:rPr>
  </w:style>
  <w:style w:type="character" w:customStyle="1" w:styleId="BalloonTextChar">
    <w:name w:val="Balloon Text Char"/>
    <w:basedOn w:val="DefaultParagraphFont"/>
    <w:link w:val="BalloonText"/>
    <w:uiPriority w:val="99"/>
    <w:semiHidden/>
    <w:rsid w:val="00F7793A"/>
    <w:rPr>
      <w:rFonts w:ascii="Tahoma" w:hAnsi="Tahoma" w:cs="Tahoma"/>
      <w:snapToGrid w:val="0"/>
      <w:sz w:val="16"/>
      <w:szCs w:val="16"/>
      <w:lang w:eastAsia="en-US"/>
    </w:rPr>
  </w:style>
  <w:style w:type="character" w:styleId="FollowedHyperlink">
    <w:name w:val="FollowedHyperlink"/>
    <w:basedOn w:val="DefaultParagraphFont"/>
    <w:uiPriority w:val="99"/>
    <w:semiHidden/>
    <w:unhideWhenUsed/>
    <w:rsid w:val="00C127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abinet1b@camnet.com.k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ew%20templates%202015\T1%20E-Letter%20and%20Letter%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T1 E-Letter and Letter FINAL</Template>
  <TotalTime>6</TotalTime>
  <Pages>2</Pages>
  <Words>338</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2012-12-19T13:20:00Z</cp:lastPrinted>
  <dcterms:created xsi:type="dcterms:W3CDTF">2015-12-02T23:33:00Z</dcterms:created>
  <dcterms:modified xsi:type="dcterms:W3CDTF">2015-12-02T23:33:00Z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ies>
</file>