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9C5480">
        <w:trPr>
          <w:trHeight w:hRule="exact" w:val="2268"/>
        </w:trPr>
        <w:tc>
          <w:tcPr>
            <w:tcW w:w="8010" w:type="dxa"/>
            <w:tcBorders>
              <w:top w:val="nil"/>
              <w:left w:val="nil"/>
              <w:bottom w:val="nil"/>
              <w:right w:val="nil"/>
            </w:tcBorders>
          </w:tcPr>
          <w:p w:rsidR="009C5480" w:rsidRDefault="00D17A8E">
            <w:r>
              <w:rPr>
                <w:noProof/>
                <w:snapToGrid/>
                <w:sz w:val="20"/>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8"/>
                          </pic:cNvPr>
                          <pic:cNvPicPr>
                            <a:picLocks noChangeAspect="1" noChangeArrowheads="1"/>
                          </pic:cNvPicPr>
                        </pic:nvPicPr>
                        <pic:blipFill>
                          <a:blip r:embed="rId9"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p>
        </w:tc>
      </w:tr>
      <w:tr w:rsidR="009C5480">
        <w:trPr>
          <w:trHeight w:hRule="exact" w:val="2948"/>
        </w:trPr>
        <w:tc>
          <w:tcPr>
            <w:tcW w:w="8010" w:type="dxa"/>
            <w:tcBorders>
              <w:top w:val="nil"/>
              <w:left w:val="nil"/>
              <w:bottom w:val="nil"/>
              <w:right w:val="nil"/>
            </w:tcBorders>
          </w:tcPr>
          <w:p w:rsidR="009C5480" w:rsidRDefault="00D528E6">
            <w:pPr>
              <w:pStyle w:val="T5MainTitle"/>
            </w:pPr>
            <w:bookmarkStart w:id="0" w:name="bmMainTitle"/>
            <w:r>
              <w:t>The Low Pay Commission</w:t>
            </w:r>
            <w:bookmarkEnd w:id="0"/>
          </w:p>
        </w:tc>
      </w:tr>
      <w:tr w:rsidR="009C5480">
        <w:trPr>
          <w:trHeight w:hRule="exact" w:val="1247"/>
        </w:trPr>
        <w:tc>
          <w:tcPr>
            <w:tcW w:w="8010" w:type="dxa"/>
            <w:tcBorders>
              <w:top w:val="nil"/>
              <w:left w:val="nil"/>
              <w:bottom w:val="nil"/>
              <w:right w:val="nil"/>
            </w:tcBorders>
          </w:tcPr>
          <w:p w:rsidR="009C5480" w:rsidRDefault="007741E0" w:rsidP="00F20CB0">
            <w:pPr>
              <w:pStyle w:val="T5DescriptiveSubheading"/>
            </w:pPr>
            <w:bookmarkStart w:id="1" w:name="bmSubheading"/>
            <w:r>
              <w:t xml:space="preserve">TUC </w:t>
            </w:r>
            <w:r w:rsidR="00F20CB0">
              <w:t>respo</w:t>
            </w:r>
            <w:r>
              <w:t>nse</w:t>
            </w:r>
            <w:bookmarkEnd w:id="1"/>
            <w:r w:rsidR="00DC4E88">
              <w:t xml:space="preserve"> 201</w:t>
            </w:r>
            <w:r w:rsidR="00927831">
              <w:t>4</w:t>
            </w:r>
          </w:p>
        </w:tc>
      </w:tr>
    </w:tbl>
    <w:p w:rsidR="009C5480" w:rsidRDefault="009C5480">
      <w:bookmarkStart w:id="2" w:name="bmP1_pagebreak"/>
    </w:p>
    <w:p w:rsidR="007741E0" w:rsidRDefault="00F7735D" w:rsidP="00963446">
      <w:pPr>
        <w:pStyle w:val="T5TextBody"/>
        <w:rPr>
          <w:rFonts w:ascii="Frutiger 55" w:hAnsi="Frutiger 55"/>
          <w:b/>
        </w:rPr>
      </w:pPr>
      <w:r>
        <w:br w:type="page"/>
      </w:r>
      <w:bookmarkEnd w:id="2"/>
    </w:p>
    <w:p w:rsidR="00963446" w:rsidRDefault="00963446" w:rsidP="00963446">
      <w:pPr>
        <w:pStyle w:val="T5TextBody"/>
        <w:rPr>
          <w:rFonts w:ascii="Frutiger 55" w:hAnsi="Frutiger 55"/>
          <w:b/>
        </w:rPr>
      </w:pPr>
    </w:p>
    <w:p w:rsidR="00963446" w:rsidRDefault="00963446" w:rsidP="00963446">
      <w:pPr>
        <w:pStyle w:val="T5TextBody"/>
        <w:rPr>
          <w:rFonts w:ascii="Frutiger 55" w:hAnsi="Frutiger 55"/>
          <w:b/>
        </w:rPr>
      </w:pPr>
      <w:r w:rsidRPr="005A54A6">
        <w:rPr>
          <w:rFonts w:ascii="Frutiger 55" w:hAnsi="Frutiger 55"/>
          <w:b/>
        </w:rPr>
        <w:t>1:</w:t>
      </w:r>
      <w:r>
        <w:t xml:space="preserve"> </w:t>
      </w:r>
      <w:r w:rsidRPr="006F35C8">
        <w:rPr>
          <w:rFonts w:ascii="Frutiger 55" w:hAnsi="Frutiger 55"/>
          <w:b/>
        </w:rPr>
        <w:t xml:space="preserve">Introduction </w:t>
      </w:r>
    </w:p>
    <w:p w:rsidR="00963446" w:rsidRPr="003874DE" w:rsidRDefault="00963446" w:rsidP="003874DE">
      <w:pPr>
        <w:pStyle w:val="T11TextBody"/>
        <w:spacing w:line="276" w:lineRule="auto"/>
        <w:rPr>
          <w:rStyle w:val="T11TextBold"/>
          <w:rFonts w:ascii="Sabon" w:hAnsi="Sabon"/>
          <w:b w:val="0"/>
          <w:szCs w:val="22"/>
        </w:rPr>
      </w:pPr>
      <w:r w:rsidRPr="003874DE">
        <w:rPr>
          <w:rStyle w:val="T11TextBold"/>
          <w:rFonts w:ascii="Sabon" w:hAnsi="Sabon"/>
          <w:b w:val="0"/>
          <w:szCs w:val="22"/>
        </w:rPr>
        <w:t xml:space="preserve">The TUC is the UK’s national trade union confederation. Our 54 affiliated unions represent </w:t>
      </w:r>
      <w:r w:rsidR="00677EBE" w:rsidRPr="003874DE">
        <w:rPr>
          <w:rStyle w:val="T11TextBold"/>
          <w:rFonts w:ascii="Sabon" w:hAnsi="Sabon"/>
          <w:b w:val="0"/>
          <w:szCs w:val="22"/>
        </w:rPr>
        <w:t>5</w:t>
      </w:r>
      <w:r w:rsidRPr="003874DE">
        <w:rPr>
          <w:rStyle w:val="T11TextBold"/>
          <w:rFonts w:ascii="Sabon" w:hAnsi="Sabon"/>
          <w:b w:val="0"/>
          <w:szCs w:val="22"/>
        </w:rPr>
        <w:t>.</w:t>
      </w:r>
      <w:r w:rsidR="00677EBE" w:rsidRPr="003874DE">
        <w:rPr>
          <w:rStyle w:val="T11TextBold"/>
          <w:rFonts w:ascii="Sabon" w:hAnsi="Sabon"/>
          <w:b w:val="0"/>
          <w:szCs w:val="22"/>
        </w:rPr>
        <w:t>9</w:t>
      </w:r>
      <w:r w:rsidRPr="003874DE">
        <w:rPr>
          <w:rStyle w:val="T11TextBold"/>
          <w:rFonts w:ascii="Sabon" w:hAnsi="Sabon"/>
          <w:b w:val="0"/>
          <w:szCs w:val="22"/>
        </w:rPr>
        <w:t xml:space="preserve"> million people at work and our influence extends more widely through the coverage of trade union agreements and the advice that we give. The TUC </w:t>
      </w:r>
      <w:r w:rsidR="001F01F6" w:rsidRPr="003874DE">
        <w:rPr>
          <w:rStyle w:val="T11TextBold"/>
          <w:rFonts w:ascii="Sabon" w:hAnsi="Sabon"/>
          <w:b w:val="0"/>
          <w:szCs w:val="22"/>
        </w:rPr>
        <w:t>is often said to constitute</w:t>
      </w:r>
      <w:r w:rsidRPr="003874DE">
        <w:rPr>
          <w:rStyle w:val="T11TextBold"/>
          <w:rFonts w:ascii="Sabon" w:hAnsi="Sabon"/>
          <w:b w:val="0"/>
          <w:szCs w:val="22"/>
        </w:rPr>
        <w:t xml:space="preserve"> the voice of Britain at work.</w:t>
      </w:r>
    </w:p>
    <w:p w:rsidR="00963446" w:rsidRPr="003874DE" w:rsidRDefault="00963446" w:rsidP="003874DE">
      <w:pPr>
        <w:pStyle w:val="T5TextBody"/>
        <w:spacing w:line="276" w:lineRule="auto"/>
        <w:rPr>
          <w:szCs w:val="22"/>
        </w:rPr>
      </w:pPr>
      <w:r w:rsidRPr="003874DE">
        <w:rPr>
          <w:szCs w:val="22"/>
        </w:rPr>
        <w:t>This paper sets out the TUC's evidence to the Low Pay Commission's 201</w:t>
      </w:r>
      <w:r w:rsidR="00677EBE" w:rsidRPr="003874DE">
        <w:rPr>
          <w:szCs w:val="22"/>
        </w:rPr>
        <w:t>4</w:t>
      </w:r>
      <w:r w:rsidRPr="003874DE">
        <w:rPr>
          <w:szCs w:val="22"/>
        </w:rPr>
        <w:t xml:space="preserve"> inquiry. Our submission looks at:</w:t>
      </w:r>
    </w:p>
    <w:p w:rsidR="00963446" w:rsidRPr="003874DE" w:rsidRDefault="00963446" w:rsidP="003874DE">
      <w:pPr>
        <w:pStyle w:val="T5Bullet"/>
        <w:numPr>
          <w:ilvl w:val="0"/>
          <w:numId w:val="15"/>
        </w:numPr>
        <w:spacing w:line="276" w:lineRule="auto"/>
        <w:rPr>
          <w:szCs w:val="22"/>
        </w:rPr>
      </w:pPr>
      <w:r w:rsidRPr="003874DE">
        <w:rPr>
          <w:szCs w:val="22"/>
        </w:rPr>
        <w:t>the current economic situation and the prospects for 201</w:t>
      </w:r>
      <w:r w:rsidR="00677EBE" w:rsidRPr="003874DE">
        <w:rPr>
          <w:szCs w:val="22"/>
        </w:rPr>
        <w:t>5</w:t>
      </w:r>
      <w:r w:rsidRPr="003874DE">
        <w:rPr>
          <w:szCs w:val="22"/>
        </w:rPr>
        <w:t>/ 201</w:t>
      </w:r>
      <w:r w:rsidR="00677EBE" w:rsidRPr="003874DE">
        <w:rPr>
          <w:szCs w:val="22"/>
        </w:rPr>
        <w:t>6</w:t>
      </w:r>
      <w:r w:rsidRPr="003874DE">
        <w:rPr>
          <w:szCs w:val="22"/>
        </w:rPr>
        <w:t>, which is the period that the LPC’s next report will cover;</w:t>
      </w:r>
    </w:p>
    <w:p w:rsidR="00963446" w:rsidRPr="003874DE" w:rsidRDefault="00FA0438" w:rsidP="003874DE">
      <w:pPr>
        <w:pStyle w:val="T5Bullet"/>
        <w:numPr>
          <w:ilvl w:val="0"/>
          <w:numId w:val="15"/>
        </w:numPr>
        <w:spacing w:line="276" w:lineRule="auto"/>
        <w:rPr>
          <w:szCs w:val="22"/>
        </w:rPr>
      </w:pPr>
      <w:r w:rsidRPr="003874DE">
        <w:rPr>
          <w:szCs w:val="22"/>
        </w:rPr>
        <w:t xml:space="preserve">the case for further increases in the minimum wage rates for 2015, taking into account </w:t>
      </w:r>
      <w:r w:rsidR="00273461">
        <w:rPr>
          <w:szCs w:val="22"/>
        </w:rPr>
        <w:t>future</w:t>
      </w:r>
      <w:r w:rsidR="00273461" w:rsidRPr="003874DE">
        <w:rPr>
          <w:szCs w:val="22"/>
        </w:rPr>
        <w:t xml:space="preserve"> </w:t>
      </w:r>
      <w:r w:rsidRPr="003874DE">
        <w:rPr>
          <w:szCs w:val="22"/>
        </w:rPr>
        <w:t xml:space="preserve">economic prospects and the LPC’s own consideration of the conditions that would lead </w:t>
      </w:r>
      <w:r w:rsidR="00273461">
        <w:rPr>
          <w:szCs w:val="22"/>
        </w:rPr>
        <w:t>it</w:t>
      </w:r>
      <w:r w:rsidR="00273461" w:rsidRPr="003874DE">
        <w:rPr>
          <w:szCs w:val="22"/>
        </w:rPr>
        <w:t xml:space="preserve"> </w:t>
      </w:r>
      <w:r w:rsidRPr="003874DE">
        <w:rPr>
          <w:szCs w:val="22"/>
        </w:rPr>
        <w:t>to enter a new phase of more generous recommendations; and</w:t>
      </w:r>
    </w:p>
    <w:p w:rsidR="00963446" w:rsidRPr="003874DE" w:rsidRDefault="00963446" w:rsidP="003874DE">
      <w:pPr>
        <w:pStyle w:val="T5Bullet"/>
        <w:numPr>
          <w:ilvl w:val="0"/>
          <w:numId w:val="15"/>
        </w:numPr>
        <w:spacing w:line="276" w:lineRule="auto"/>
        <w:rPr>
          <w:szCs w:val="22"/>
        </w:rPr>
      </w:pPr>
      <w:r w:rsidRPr="003874DE">
        <w:rPr>
          <w:szCs w:val="22"/>
        </w:rPr>
        <w:t xml:space="preserve">the need </w:t>
      </w:r>
      <w:r w:rsidR="00677EBE" w:rsidRPr="003874DE">
        <w:rPr>
          <w:szCs w:val="22"/>
        </w:rPr>
        <w:t xml:space="preserve">to keep on </w:t>
      </w:r>
      <w:r w:rsidR="00FA0438" w:rsidRPr="003874DE">
        <w:rPr>
          <w:szCs w:val="22"/>
        </w:rPr>
        <w:t>building</w:t>
      </w:r>
      <w:r w:rsidRPr="003874DE">
        <w:rPr>
          <w:szCs w:val="22"/>
        </w:rPr>
        <w:t xml:space="preserve"> awareness and </w:t>
      </w:r>
      <w:r w:rsidR="00877FD0" w:rsidRPr="003874DE">
        <w:rPr>
          <w:szCs w:val="22"/>
        </w:rPr>
        <w:t>enforcement</w:t>
      </w:r>
      <w:r w:rsidR="00677EBE" w:rsidRPr="003874DE">
        <w:rPr>
          <w:szCs w:val="22"/>
        </w:rPr>
        <w:t xml:space="preserve"> of national </w:t>
      </w:r>
      <w:r w:rsidR="00FA0438" w:rsidRPr="003874DE">
        <w:rPr>
          <w:szCs w:val="22"/>
        </w:rPr>
        <w:t>minimum wage</w:t>
      </w:r>
      <w:r w:rsidR="00677EBE" w:rsidRPr="003874DE">
        <w:rPr>
          <w:szCs w:val="22"/>
        </w:rPr>
        <w:t xml:space="preserve"> rights</w:t>
      </w:r>
      <w:r w:rsidRPr="003874DE">
        <w:rPr>
          <w:szCs w:val="22"/>
        </w:rPr>
        <w:t xml:space="preserve">. </w:t>
      </w:r>
    </w:p>
    <w:p w:rsidR="00963446" w:rsidRPr="003874DE" w:rsidRDefault="00963446" w:rsidP="003874DE">
      <w:pPr>
        <w:pStyle w:val="T5Bullet"/>
        <w:numPr>
          <w:ilvl w:val="0"/>
          <w:numId w:val="0"/>
        </w:numPr>
        <w:spacing w:line="276" w:lineRule="auto"/>
        <w:rPr>
          <w:szCs w:val="22"/>
        </w:rPr>
      </w:pPr>
      <w:r w:rsidRPr="003874DE">
        <w:rPr>
          <w:szCs w:val="22"/>
        </w:rPr>
        <w:t>In formulating our recommendations, we have taken account of the following key points:</w:t>
      </w:r>
    </w:p>
    <w:p w:rsidR="00B35DF6" w:rsidRPr="003874DE" w:rsidRDefault="00B423DD" w:rsidP="003874DE">
      <w:pPr>
        <w:pStyle w:val="T5Bullet"/>
        <w:numPr>
          <w:ilvl w:val="0"/>
          <w:numId w:val="14"/>
        </w:numPr>
        <w:spacing w:line="276" w:lineRule="auto"/>
        <w:rPr>
          <w:szCs w:val="22"/>
        </w:rPr>
      </w:pPr>
      <w:r w:rsidRPr="003874DE">
        <w:rPr>
          <w:szCs w:val="22"/>
        </w:rPr>
        <w:t>E</w:t>
      </w:r>
      <w:r w:rsidR="00963446" w:rsidRPr="003874DE">
        <w:rPr>
          <w:szCs w:val="22"/>
        </w:rPr>
        <w:t xml:space="preserve">mployment </w:t>
      </w:r>
      <w:r w:rsidR="00322AD3" w:rsidRPr="003874DE">
        <w:rPr>
          <w:szCs w:val="22"/>
        </w:rPr>
        <w:t xml:space="preserve">has </w:t>
      </w:r>
      <w:r w:rsidR="005D78B3" w:rsidRPr="003874DE">
        <w:rPr>
          <w:szCs w:val="22"/>
        </w:rPr>
        <w:t xml:space="preserve">grown </w:t>
      </w:r>
      <w:r w:rsidR="00677EBE" w:rsidRPr="003874DE">
        <w:rPr>
          <w:szCs w:val="22"/>
        </w:rPr>
        <w:t xml:space="preserve">rapidly during the past year, and </w:t>
      </w:r>
      <w:r w:rsidR="00963446" w:rsidRPr="003874DE">
        <w:rPr>
          <w:szCs w:val="22"/>
        </w:rPr>
        <w:t xml:space="preserve">the low paying sectors </w:t>
      </w:r>
      <w:r w:rsidR="00677EBE" w:rsidRPr="003874DE">
        <w:rPr>
          <w:szCs w:val="22"/>
        </w:rPr>
        <w:t>are</w:t>
      </w:r>
      <w:r w:rsidR="00B35DF6" w:rsidRPr="003874DE">
        <w:rPr>
          <w:szCs w:val="22"/>
        </w:rPr>
        <w:t xml:space="preserve"> </w:t>
      </w:r>
      <w:r w:rsidR="00FA0438" w:rsidRPr="003874DE">
        <w:rPr>
          <w:szCs w:val="22"/>
        </w:rPr>
        <w:t>broadly keeping</w:t>
      </w:r>
      <w:r w:rsidR="00677EBE" w:rsidRPr="003874DE">
        <w:rPr>
          <w:szCs w:val="22"/>
        </w:rPr>
        <w:t xml:space="preserve"> pace with </w:t>
      </w:r>
      <w:r w:rsidR="00273461">
        <w:rPr>
          <w:szCs w:val="22"/>
        </w:rPr>
        <w:t xml:space="preserve">(if not exceeding) growth in </w:t>
      </w:r>
      <w:r w:rsidR="00677EBE" w:rsidRPr="003874DE">
        <w:rPr>
          <w:szCs w:val="22"/>
        </w:rPr>
        <w:t xml:space="preserve">the </w:t>
      </w:r>
      <w:r w:rsidR="005D78B3" w:rsidRPr="003874DE">
        <w:rPr>
          <w:szCs w:val="22"/>
        </w:rPr>
        <w:t>rest of the economy</w:t>
      </w:r>
      <w:r w:rsidR="00B35DF6" w:rsidRPr="003874DE">
        <w:rPr>
          <w:szCs w:val="22"/>
        </w:rPr>
        <w:t>.</w:t>
      </w:r>
    </w:p>
    <w:p w:rsidR="00963446" w:rsidRPr="003874DE" w:rsidRDefault="00963446" w:rsidP="003874DE">
      <w:pPr>
        <w:pStyle w:val="T5Bullet"/>
        <w:numPr>
          <w:ilvl w:val="0"/>
          <w:numId w:val="14"/>
        </w:numPr>
        <w:spacing w:line="276" w:lineRule="auto"/>
        <w:rPr>
          <w:szCs w:val="22"/>
        </w:rPr>
      </w:pPr>
      <w:r w:rsidRPr="003874DE">
        <w:rPr>
          <w:szCs w:val="22"/>
        </w:rPr>
        <w:t xml:space="preserve">Economic growth </w:t>
      </w:r>
      <w:r w:rsidR="00B35DF6" w:rsidRPr="003874DE">
        <w:rPr>
          <w:szCs w:val="22"/>
        </w:rPr>
        <w:t xml:space="preserve">and earnings growth are </w:t>
      </w:r>
      <w:r w:rsidR="00FA0438" w:rsidRPr="003874DE">
        <w:rPr>
          <w:szCs w:val="22"/>
        </w:rPr>
        <w:t>both</w:t>
      </w:r>
      <w:r w:rsidRPr="003874DE">
        <w:rPr>
          <w:szCs w:val="22"/>
        </w:rPr>
        <w:t xml:space="preserve"> forecast to </w:t>
      </w:r>
      <w:r w:rsidR="00FA0438" w:rsidRPr="003874DE">
        <w:rPr>
          <w:szCs w:val="22"/>
        </w:rPr>
        <w:t>strengthen</w:t>
      </w:r>
      <w:r w:rsidR="00B35DF6" w:rsidRPr="003874DE">
        <w:rPr>
          <w:szCs w:val="22"/>
        </w:rPr>
        <w:t xml:space="preserve"> during the coming years</w:t>
      </w:r>
      <w:r w:rsidR="00B423DD" w:rsidRPr="003874DE">
        <w:rPr>
          <w:szCs w:val="22"/>
        </w:rPr>
        <w:t>.</w:t>
      </w:r>
      <w:r w:rsidRPr="003874DE">
        <w:rPr>
          <w:szCs w:val="22"/>
        </w:rPr>
        <w:t xml:space="preserve"> </w:t>
      </w:r>
    </w:p>
    <w:p w:rsidR="00CA49F1" w:rsidRPr="003874DE" w:rsidRDefault="00CA49F1" w:rsidP="003874DE">
      <w:pPr>
        <w:pStyle w:val="T5Bullet"/>
        <w:numPr>
          <w:ilvl w:val="0"/>
          <w:numId w:val="14"/>
        </w:numPr>
        <w:spacing w:line="276" w:lineRule="auto"/>
        <w:rPr>
          <w:szCs w:val="22"/>
        </w:rPr>
      </w:pPr>
      <w:r w:rsidRPr="003874DE">
        <w:rPr>
          <w:szCs w:val="22"/>
        </w:rPr>
        <w:t xml:space="preserve">Pay settlements continue to increase substantially faster than the ONS’s measures of average weekly earnings, which is significantly impacted by a range of compositional effects. </w:t>
      </w:r>
    </w:p>
    <w:p w:rsidR="0097483E" w:rsidRPr="003874DE" w:rsidRDefault="0097483E" w:rsidP="003874DE">
      <w:pPr>
        <w:pStyle w:val="T5Bullet"/>
        <w:numPr>
          <w:ilvl w:val="0"/>
          <w:numId w:val="14"/>
        </w:numPr>
        <w:spacing w:line="276" w:lineRule="auto"/>
        <w:rPr>
          <w:szCs w:val="22"/>
        </w:rPr>
      </w:pPr>
      <w:r w:rsidRPr="003874DE">
        <w:rPr>
          <w:szCs w:val="22"/>
        </w:rPr>
        <w:t xml:space="preserve">Economic </w:t>
      </w:r>
      <w:r w:rsidR="00FA0438" w:rsidRPr="003874DE">
        <w:rPr>
          <w:szCs w:val="22"/>
        </w:rPr>
        <w:t>modelling</w:t>
      </w:r>
      <w:r w:rsidRPr="003874DE">
        <w:rPr>
          <w:szCs w:val="22"/>
        </w:rPr>
        <w:t xml:space="preserve">, including </w:t>
      </w:r>
      <w:r w:rsidR="00CA49F1" w:rsidRPr="003874DE">
        <w:rPr>
          <w:szCs w:val="22"/>
        </w:rPr>
        <w:t xml:space="preserve">recent analysis </w:t>
      </w:r>
      <w:r w:rsidRPr="003874DE">
        <w:rPr>
          <w:szCs w:val="22"/>
        </w:rPr>
        <w:t xml:space="preserve">conducted by the Treasury, suggests that the headroom for raising the </w:t>
      </w:r>
      <w:r w:rsidR="00FA0438" w:rsidRPr="003874DE">
        <w:rPr>
          <w:szCs w:val="22"/>
        </w:rPr>
        <w:t>minimum</w:t>
      </w:r>
      <w:r w:rsidRPr="003874DE">
        <w:rPr>
          <w:szCs w:val="22"/>
        </w:rPr>
        <w:t xml:space="preserve"> wage </w:t>
      </w:r>
      <w:r w:rsidR="00CA49F1" w:rsidRPr="003874DE">
        <w:rPr>
          <w:szCs w:val="22"/>
        </w:rPr>
        <w:t>is substantial</w:t>
      </w:r>
      <w:r w:rsidRPr="003874DE">
        <w:rPr>
          <w:szCs w:val="22"/>
        </w:rPr>
        <w:t xml:space="preserve">. </w:t>
      </w:r>
      <w:r w:rsidR="00A82A2B" w:rsidRPr="003874DE">
        <w:rPr>
          <w:szCs w:val="22"/>
        </w:rPr>
        <w:t>Given</w:t>
      </w:r>
      <w:r w:rsidR="00CA49F1" w:rsidRPr="003874DE">
        <w:rPr>
          <w:szCs w:val="22"/>
        </w:rPr>
        <w:t xml:space="preserve"> </w:t>
      </w:r>
      <w:r w:rsidR="00BF58AC" w:rsidRPr="003874DE">
        <w:rPr>
          <w:szCs w:val="22"/>
        </w:rPr>
        <w:t xml:space="preserve">that </w:t>
      </w:r>
      <w:r w:rsidR="00CA49F1" w:rsidRPr="003874DE">
        <w:rPr>
          <w:szCs w:val="22"/>
        </w:rPr>
        <w:t xml:space="preserve">the recovery continues to strengthen, a well-judged increase that </w:t>
      </w:r>
      <w:r w:rsidR="0048264B">
        <w:rPr>
          <w:szCs w:val="22"/>
        </w:rPr>
        <w:t>boosts</w:t>
      </w:r>
      <w:r w:rsidR="0048264B" w:rsidRPr="003874DE">
        <w:rPr>
          <w:szCs w:val="22"/>
        </w:rPr>
        <w:t xml:space="preserve"> </w:t>
      </w:r>
      <w:r w:rsidR="00CA49F1" w:rsidRPr="003874DE">
        <w:rPr>
          <w:szCs w:val="22"/>
        </w:rPr>
        <w:t>the real value of the NMW would easily be absorbed by employers.</w:t>
      </w:r>
    </w:p>
    <w:p w:rsidR="002C6A6F" w:rsidRPr="003874DE" w:rsidRDefault="00963446" w:rsidP="003874DE">
      <w:pPr>
        <w:pStyle w:val="T5Bullet"/>
        <w:numPr>
          <w:ilvl w:val="0"/>
          <w:numId w:val="14"/>
        </w:numPr>
        <w:spacing w:line="276" w:lineRule="auto"/>
        <w:rPr>
          <w:szCs w:val="22"/>
        </w:rPr>
      </w:pPr>
      <w:r w:rsidRPr="003874DE">
        <w:rPr>
          <w:szCs w:val="22"/>
        </w:rPr>
        <w:t xml:space="preserve">There is </w:t>
      </w:r>
      <w:r w:rsidR="0097483E" w:rsidRPr="003874DE">
        <w:rPr>
          <w:szCs w:val="22"/>
        </w:rPr>
        <w:t xml:space="preserve">both a </w:t>
      </w:r>
      <w:r w:rsidR="00FA0438" w:rsidRPr="003874DE">
        <w:rPr>
          <w:szCs w:val="22"/>
        </w:rPr>
        <w:t>moral</w:t>
      </w:r>
      <w:r w:rsidR="0097483E" w:rsidRPr="003874DE">
        <w:rPr>
          <w:szCs w:val="22"/>
        </w:rPr>
        <w:t xml:space="preserve"> and </w:t>
      </w:r>
      <w:r w:rsidRPr="003874DE">
        <w:rPr>
          <w:szCs w:val="22"/>
        </w:rPr>
        <w:t xml:space="preserve">an economic </w:t>
      </w:r>
      <w:r w:rsidR="002C6A6F" w:rsidRPr="003874DE">
        <w:rPr>
          <w:szCs w:val="22"/>
        </w:rPr>
        <w:t>imperative</w:t>
      </w:r>
      <w:r w:rsidRPr="003874DE">
        <w:rPr>
          <w:szCs w:val="22"/>
        </w:rPr>
        <w:t xml:space="preserve"> to </w:t>
      </w:r>
      <w:r w:rsidR="00877FD0" w:rsidRPr="003874DE">
        <w:rPr>
          <w:szCs w:val="22"/>
        </w:rPr>
        <w:t>ensure</w:t>
      </w:r>
      <w:r w:rsidR="0097483E" w:rsidRPr="003874DE">
        <w:rPr>
          <w:szCs w:val="22"/>
        </w:rPr>
        <w:t xml:space="preserve"> that the </w:t>
      </w:r>
      <w:r w:rsidR="002C6A6F" w:rsidRPr="003874DE">
        <w:rPr>
          <w:szCs w:val="22"/>
        </w:rPr>
        <w:t>NMW play</w:t>
      </w:r>
      <w:r w:rsidR="0097483E" w:rsidRPr="003874DE">
        <w:rPr>
          <w:szCs w:val="22"/>
        </w:rPr>
        <w:t>s</w:t>
      </w:r>
      <w:r w:rsidR="002C6A6F" w:rsidRPr="003874DE">
        <w:rPr>
          <w:szCs w:val="22"/>
        </w:rPr>
        <w:t xml:space="preserve"> a</w:t>
      </w:r>
      <w:r w:rsidR="0097483E" w:rsidRPr="003874DE">
        <w:rPr>
          <w:szCs w:val="22"/>
        </w:rPr>
        <w:t>s</w:t>
      </w:r>
      <w:r w:rsidR="002C6A6F" w:rsidRPr="003874DE">
        <w:rPr>
          <w:szCs w:val="22"/>
        </w:rPr>
        <w:t xml:space="preserve"> strong </w:t>
      </w:r>
      <w:r w:rsidR="0097483E" w:rsidRPr="003874DE">
        <w:rPr>
          <w:szCs w:val="22"/>
        </w:rPr>
        <w:t xml:space="preserve">a </w:t>
      </w:r>
      <w:r w:rsidR="002C6A6F" w:rsidRPr="003874DE">
        <w:rPr>
          <w:szCs w:val="22"/>
        </w:rPr>
        <w:t xml:space="preserve">part </w:t>
      </w:r>
      <w:r w:rsidR="0097483E" w:rsidRPr="003874DE">
        <w:rPr>
          <w:szCs w:val="22"/>
        </w:rPr>
        <w:t xml:space="preserve">as possible </w:t>
      </w:r>
      <w:r w:rsidR="002C6A6F" w:rsidRPr="003874DE">
        <w:rPr>
          <w:szCs w:val="22"/>
        </w:rPr>
        <w:t xml:space="preserve">in supporting the wages of low paid workers. </w:t>
      </w:r>
      <w:r w:rsidRPr="003874DE">
        <w:rPr>
          <w:szCs w:val="22"/>
        </w:rPr>
        <w:t xml:space="preserve"> </w:t>
      </w:r>
      <w:r w:rsidR="0097483E" w:rsidRPr="003874DE">
        <w:rPr>
          <w:szCs w:val="22"/>
        </w:rPr>
        <w:t>Well</w:t>
      </w:r>
      <w:r w:rsidR="003E46B8" w:rsidRPr="003874DE">
        <w:rPr>
          <w:szCs w:val="22"/>
        </w:rPr>
        <w:t>-</w:t>
      </w:r>
      <w:r w:rsidR="00FA0438" w:rsidRPr="003874DE">
        <w:rPr>
          <w:szCs w:val="22"/>
        </w:rPr>
        <w:t>judged</w:t>
      </w:r>
      <w:r w:rsidR="0097483E" w:rsidRPr="003874DE">
        <w:rPr>
          <w:szCs w:val="22"/>
        </w:rPr>
        <w:t xml:space="preserve"> </w:t>
      </w:r>
      <w:r w:rsidR="00877FD0" w:rsidRPr="003874DE">
        <w:rPr>
          <w:szCs w:val="22"/>
        </w:rPr>
        <w:t>increases</w:t>
      </w:r>
      <w:r w:rsidR="002C6A6F" w:rsidRPr="003874DE">
        <w:rPr>
          <w:szCs w:val="22"/>
        </w:rPr>
        <w:t xml:space="preserve"> in the NMW help </w:t>
      </w:r>
      <w:r w:rsidR="00877FD0" w:rsidRPr="003874DE">
        <w:rPr>
          <w:szCs w:val="22"/>
        </w:rPr>
        <w:t xml:space="preserve">to </w:t>
      </w:r>
      <w:r w:rsidR="0048264B">
        <w:rPr>
          <w:szCs w:val="22"/>
        </w:rPr>
        <w:t>increase</w:t>
      </w:r>
      <w:r w:rsidR="0048264B" w:rsidRPr="003874DE">
        <w:rPr>
          <w:szCs w:val="22"/>
        </w:rPr>
        <w:t xml:space="preserve"> </w:t>
      </w:r>
      <w:r w:rsidRPr="003874DE">
        <w:rPr>
          <w:szCs w:val="22"/>
        </w:rPr>
        <w:t>labour supply</w:t>
      </w:r>
      <w:r w:rsidR="002C6A6F" w:rsidRPr="003874DE">
        <w:rPr>
          <w:szCs w:val="22"/>
        </w:rPr>
        <w:t xml:space="preserve"> by making work pay. The additional earnings are also an effective way of </w:t>
      </w:r>
      <w:r w:rsidRPr="003874DE">
        <w:rPr>
          <w:szCs w:val="22"/>
        </w:rPr>
        <w:t xml:space="preserve"> bolstering consumer demand</w:t>
      </w:r>
      <w:r w:rsidR="00CA49F1" w:rsidRPr="003874DE">
        <w:rPr>
          <w:szCs w:val="22"/>
        </w:rPr>
        <w:t xml:space="preserve"> without increasing private debt liabilities,</w:t>
      </w:r>
      <w:r w:rsidRPr="003874DE">
        <w:rPr>
          <w:szCs w:val="22"/>
        </w:rPr>
        <w:t xml:space="preserve"> as minimum wage increase</w:t>
      </w:r>
      <w:r w:rsidR="002C6A6F" w:rsidRPr="003874DE">
        <w:rPr>
          <w:szCs w:val="22"/>
        </w:rPr>
        <w:t>s</w:t>
      </w:r>
      <w:r w:rsidRPr="003874DE">
        <w:rPr>
          <w:szCs w:val="22"/>
        </w:rPr>
        <w:t xml:space="preserve"> </w:t>
      </w:r>
      <w:r w:rsidR="00877FD0" w:rsidRPr="003874DE">
        <w:rPr>
          <w:szCs w:val="22"/>
        </w:rPr>
        <w:t>tend</w:t>
      </w:r>
      <w:r w:rsidR="002C6A6F" w:rsidRPr="003874DE">
        <w:rPr>
          <w:szCs w:val="22"/>
        </w:rPr>
        <w:t xml:space="preserve"> to </w:t>
      </w:r>
      <w:r w:rsidRPr="003874DE">
        <w:rPr>
          <w:szCs w:val="22"/>
        </w:rPr>
        <w:t>go straight back into the local economy</w:t>
      </w:r>
      <w:r w:rsidR="00CA49F1" w:rsidRPr="003874DE">
        <w:rPr>
          <w:szCs w:val="22"/>
        </w:rPr>
        <w:t xml:space="preserve"> and boost the incomes of households who would otherwise only be able to improve their spending power through increas</w:t>
      </w:r>
      <w:r w:rsidR="000D05A0">
        <w:rPr>
          <w:szCs w:val="22"/>
        </w:rPr>
        <w:t xml:space="preserve">ed </w:t>
      </w:r>
      <w:r w:rsidR="000D05A0">
        <w:rPr>
          <w:szCs w:val="22"/>
        </w:rPr>
        <w:lastRenderedPageBreak/>
        <w:t>borrowing</w:t>
      </w:r>
      <w:r w:rsidR="00901BC4" w:rsidRPr="003874DE">
        <w:rPr>
          <w:rStyle w:val="FootnoteReference"/>
          <w:sz w:val="22"/>
          <w:szCs w:val="22"/>
        </w:rPr>
        <w:footnoteReference w:id="1"/>
      </w:r>
      <w:r w:rsidRPr="003874DE">
        <w:rPr>
          <w:szCs w:val="22"/>
        </w:rPr>
        <w:t xml:space="preserve">. </w:t>
      </w:r>
      <w:r w:rsidR="00B33F3C" w:rsidRPr="003874DE">
        <w:rPr>
          <w:szCs w:val="22"/>
        </w:rPr>
        <w:t xml:space="preserve">Furthermore, </w:t>
      </w:r>
      <w:r w:rsidR="00CA49F1" w:rsidRPr="003874DE">
        <w:rPr>
          <w:szCs w:val="22"/>
        </w:rPr>
        <w:t xml:space="preserve">NMW rises </w:t>
      </w:r>
      <w:r w:rsidR="00B33F3C" w:rsidRPr="003874DE">
        <w:rPr>
          <w:szCs w:val="22"/>
        </w:rPr>
        <w:t xml:space="preserve">generate a modest but useful boost for the </w:t>
      </w:r>
      <w:r w:rsidR="00FA0438" w:rsidRPr="003874DE">
        <w:rPr>
          <w:szCs w:val="22"/>
        </w:rPr>
        <w:t>exchequer</w:t>
      </w:r>
      <w:r w:rsidR="00B33F3C" w:rsidRPr="003874DE">
        <w:rPr>
          <w:szCs w:val="22"/>
        </w:rPr>
        <w:t>, as the tax/</w:t>
      </w:r>
      <w:r w:rsidR="00FA0438" w:rsidRPr="003874DE">
        <w:rPr>
          <w:szCs w:val="22"/>
        </w:rPr>
        <w:t>benefit</w:t>
      </w:r>
      <w:r w:rsidR="00B33F3C" w:rsidRPr="003874DE">
        <w:rPr>
          <w:szCs w:val="22"/>
        </w:rPr>
        <w:t xml:space="preserve"> equation </w:t>
      </w:r>
      <w:r w:rsidR="00CA49F1" w:rsidRPr="003874DE">
        <w:rPr>
          <w:szCs w:val="22"/>
        </w:rPr>
        <w:t>improves</w:t>
      </w:r>
      <w:r w:rsidR="00B33F3C" w:rsidRPr="003874DE">
        <w:rPr>
          <w:szCs w:val="22"/>
        </w:rPr>
        <w:t>.</w:t>
      </w:r>
    </w:p>
    <w:p w:rsidR="00643B2B" w:rsidRPr="003874DE" w:rsidRDefault="00643B2B" w:rsidP="003874DE">
      <w:pPr>
        <w:pStyle w:val="T5Bullet"/>
        <w:numPr>
          <w:ilvl w:val="0"/>
          <w:numId w:val="14"/>
        </w:numPr>
        <w:spacing w:line="276" w:lineRule="auto"/>
        <w:rPr>
          <w:szCs w:val="22"/>
        </w:rPr>
      </w:pPr>
      <w:r w:rsidRPr="003874DE">
        <w:rPr>
          <w:szCs w:val="22"/>
        </w:rPr>
        <w:t xml:space="preserve">More must be done to </w:t>
      </w:r>
      <w:r w:rsidR="00FA0438" w:rsidRPr="003874DE">
        <w:rPr>
          <w:szCs w:val="22"/>
        </w:rPr>
        <w:t xml:space="preserve">raise awareness of the law </w:t>
      </w:r>
      <w:r w:rsidRPr="003874DE">
        <w:rPr>
          <w:szCs w:val="22"/>
        </w:rPr>
        <w:t xml:space="preserve">and </w:t>
      </w:r>
      <w:r w:rsidR="00FA0438" w:rsidRPr="003874DE">
        <w:rPr>
          <w:szCs w:val="22"/>
        </w:rPr>
        <w:t xml:space="preserve">to </w:t>
      </w:r>
      <w:r w:rsidRPr="003874DE">
        <w:rPr>
          <w:szCs w:val="22"/>
        </w:rPr>
        <w:t xml:space="preserve">enforce </w:t>
      </w:r>
      <w:r w:rsidR="00FA0438" w:rsidRPr="003874DE">
        <w:rPr>
          <w:szCs w:val="22"/>
        </w:rPr>
        <w:t>it</w:t>
      </w:r>
      <w:r w:rsidRPr="003874DE">
        <w:rPr>
          <w:szCs w:val="22"/>
        </w:rPr>
        <w:t>. There have been incremental improvement</w:t>
      </w:r>
      <w:r w:rsidR="0048264B">
        <w:rPr>
          <w:szCs w:val="22"/>
        </w:rPr>
        <w:t>s</w:t>
      </w:r>
      <w:r w:rsidRPr="003874DE">
        <w:rPr>
          <w:szCs w:val="22"/>
        </w:rPr>
        <w:t xml:space="preserve"> to the regime including, this year, higher civil penalties and more naming and shaming</w:t>
      </w:r>
      <w:r w:rsidR="0048264B">
        <w:rPr>
          <w:szCs w:val="22"/>
        </w:rPr>
        <w:t>. However,</w:t>
      </w:r>
      <w:r w:rsidR="0048264B" w:rsidRPr="003874DE">
        <w:rPr>
          <w:szCs w:val="22"/>
        </w:rPr>
        <w:t xml:space="preserve"> </w:t>
      </w:r>
      <w:r w:rsidRPr="003874DE">
        <w:rPr>
          <w:szCs w:val="22"/>
        </w:rPr>
        <w:t>far too many employers are still getting away with non-</w:t>
      </w:r>
      <w:r w:rsidR="00FA0438" w:rsidRPr="003874DE">
        <w:rPr>
          <w:szCs w:val="22"/>
        </w:rPr>
        <w:t>compliance</w:t>
      </w:r>
      <w:r w:rsidRPr="003874DE">
        <w:rPr>
          <w:szCs w:val="22"/>
        </w:rPr>
        <w:t xml:space="preserve">. </w:t>
      </w:r>
    </w:p>
    <w:p w:rsidR="00CA49F1" w:rsidRPr="003874DE" w:rsidRDefault="00CA49F1" w:rsidP="003874DE">
      <w:pPr>
        <w:pStyle w:val="T5Bullet"/>
        <w:numPr>
          <w:ilvl w:val="0"/>
          <w:numId w:val="0"/>
        </w:numPr>
        <w:spacing w:line="276" w:lineRule="auto"/>
        <w:rPr>
          <w:szCs w:val="22"/>
        </w:rPr>
      </w:pPr>
      <w:r w:rsidRPr="003874DE">
        <w:rPr>
          <w:szCs w:val="22"/>
        </w:rPr>
        <w:t xml:space="preserve">The TUC believes that it is now time for the Commission to make further progress in combating low pay by entering a new phase of more generous increases that are not bounded by the growth in average earnings. </w:t>
      </w:r>
      <w:r w:rsidR="00DE154C" w:rsidRPr="003874DE">
        <w:rPr>
          <w:szCs w:val="22"/>
        </w:rPr>
        <w:t xml:space="preserve">This is a year when the economy will be fully committed to recovery, and the </w:t>
      </w:r>
      <w:r w:rsidR="003E46B8" w:rsidRPr="003874DE">
        <w:rPr>
          <w:szCs w:val="22"/>
        </w:rPr>
        <w:t xml:space="preserve">evidence points to the </w:t>
      </w:r>
      <w:r w:rsidR="00DE154C" w:rsidRPr="003874DE">
        <w:rPr>
          <w:szCs w:val="22"/>
        </w:rPr>
        <w:t>scope for significant increases in NMW rates be</w:t>
      </w:r>
      <w:r w:rsidR="003E46B8" w:rsidRPr="003874DE">
        <w:rPr>
          <w:szCs w:val="22"/>
        </w:rPr>
        <w:t>ing</w:t>
      </w:r>
      <w:r w:rsidR="00DE154C" w:rsidRPr="003874DE">
        <w:rPr>
          <w:szCs w:val="22"/>
        </w:rPr>
        <w:t xml:space="preserve"> substantial.</w:t>
      </w:r>
    </w:p>
    <w:p w:rsidR="000A65E3" w:rsidRPr="003874DE" w:rsidRDefault="000A65E3" w:rsidP="003874DE">
      <w:pPr>
        <w:pStyle w:val="T5Bullet"/>
        <w:numPr>
          <w:ilvl w:val="0"/>
          <w:numId w:val="0"/>
        </w:numPr>
        <w:spacing w:line="276" w:lineRule="auto"/>
        <w:rPr>
          <w:szCs w:val="22"/>
        </w:rPr>
      </w:pPr>
      <w:r w:rsidRPr="003874DE">
        <w:rPr>
          <w:szCs w:val="22"/>
        </w:rPr>
        <w:t>A revival of earnings growth is</w:t>
      </w:r>
      <w:r w:rsidR="0048264B">
        <w:rPr>
          <w:szCs w:val="22"/>
        </w:rPr>
        <w:t xml:space="preserve"> also</w:t>
      </w:r>
      <w:r w:rsidRPr="003874DE">
        <w:rPr>
          <w:szCs w:val="22"/>
        </w:rPr>
        <w:t xml:space="preserve"> a necessary component of a sustainable recovery, and the NMW has an important role to play in securing such a shift. Real household disposable income</w:t>
      </w:r>
      <w:r w:rsidR="0048264B">
        <w:rPr>
          <w:szCs w:val="22"/>
        </w:rPr>
        <w:t>s</w:t>
      </w:r>
      <w:r w:rsidRPr="003874DE">
        <w:rPr>
          <w:szCs w:val="22"/>
        </w:rPr>
        <w:t xml:space="preserve"> must rise</w:t>
      </w:r>
      <w:r w:rsidR="0048264B">
        <w:rPr>
          <w:szCs w:val="22"/>
        </w:rPr>
        <w:t xml:space="preserve"> if domestic demand is to be maintained</w:t>
      </w:r>
      <w:r w:rsidRPr="003874DE">
        <w:rPr>
          <w:szCs w:val="22"/>
        </w:rPr>
        <w:t xml:space="preserve">. </w:t>
      </w:r>
    </w:p>
    <w:p w:rsidR="002916E8" w:rsidRPr="003874DE" w:rsidRDefault="002916E8" w:rsidP="003874DE">
      <w:pPr>
        <w:pStyle w:val="NormalWeb"/>
        <w:spacing w:line="276" w:lineRule="auto"/>
        <w:rPr>
          <w:rFonts w:ascii="Sabon" w:hAnsi="Sabon"/>
          <w:sz w:val="22"/>
          <w:szCs w:val="22"/>
        </w:rPr>
      </w:pPr>
      <w:r w:rsidRPr="003874DE">
        <w:rPr>
          <w:rFonts w:ascii="Sabon" w:hAnsi="Sabon"/>
          <w:bCs/>
          <w:sz w:val="22"/>
          <w:szCs w:val="22"/>
        </w:rPr>
        <w:t xml:space="preserve">It is not only the TUC making the case for stronger pay growth.  The International Monetary Fund has recently issued a research paper warning that income inequality is bad for growth, finding that </w:t>
      </w:r>
      <w:r w:rsidRPr="003874DE">
        <w:rPr>
          <w:rFonts w:ascii="Sabon" w:hAnsi="Sabon"/>
          <w:sz w:val="22"/>
          <w:szCs w:val="22"/>
        </w:rPr>
        <w:t xml:space="preserve">countries with </w:t>
      </w:r>
      <w:r w:rsidRPr="003874DE">
        <w:rPr>
          <w:rFonts w:ascii="Sabon" w:hAnsi="Sabon"/>
          <w:bCs/>
          <w:sz w:val="22"/>
          <w:szCs w:val="22"/>
        </w:rPr>
        <w:t>high levels of inequality suffered lower growth</w:t>
      </w:r>
      <w:r w:rsidRPr="003874DE">
        <w:rPr>
          <w:rFonts w:ascii="Sabon" w:hAnsi="Sabon"/>
          <w:sz w:val="22"/>
          <w:szCs w:val="22"/>
        </w:rPr>
        <w:t xml:space="preserve"> than nations that distributed incomes more evenly</w:t>
      </w:r>
      <w:r w:rsidRPr="003874DE">
        <w:rPr>
          <w:rStyle w:val="FootnoteReference"/>
          <w:rFonts w:ascii="Sabon" w:hAnsi="Sabon"/>
          <w:sz w:val="22"/>
          <w:szCs w:val="22"/>
        </w:rPr>
        <w:footnoteReference w:id="2"/>
      </w:r>
      <w:r w:rsidRPr="003874DE">
        <w:rPr>
          <w:rFonts w:ascii="Sabon" w:hAnsi="Sabon"/>
          <w:sz w:val="22"/>
          <w:szCs w:val="22"/>
        </w:rPr>
        <w:t>.</w:t>
      </w:r>
    </w:p>
    <w:p w:rsidR="002916E8" w:rsidRPr="003874DE" w:rsidRDefault="002916E8" w:rsidP="003874DE">
      <w:pPr>
        <w:pStyle w:val="NormalWeb"/>
        <w:spacing w:line="276" w:lineRule="auto"/>
        <w:rPr>
          <w:sz w:val="22"/>
          <w:szCs w:val="22"/>
        </w:rPr>
      </w:pPr>
    </w:p>
    <w:p w:rsidR="002916E8" w:rsidRPr="003874DE" w:rsidRDefault="002916E8" w:rsidP="003874DE">
      <w:pPr>
        <w:pStyle w:val="T5TextBody"/>
        <w:spacing w:line="276" w:lineRule="auto"/>
        <w:rPr>
          <w:rFonts w:cs="Arial"/>
          <w:szCs w:val="22"/>
        </w:rPr>
      </w:pPr>
      <w:r w:rsidRPr="003874DE">
        <w:rPr>
          <w:szCs w:val="22"/>
        </w:rPr>
        <w:t xml:space="preserve">The Bank of England also </w:t>
      </w:r>
      <w:r w:rsidR="001B50E0">
        <w:rPr>
          <w:szCs w:val="22"/>
        </w:rPr>
        <w:t>sees the need for stronger wages growth</w:t>
      </w:r>
      <w:r w:rsidRPr="003874DE">
        <w:rPr>
          <w:szCs w:val="22"/>
        </w:rPr>
        <w:t xml:space="preserve">. In his statement accompanying the May Inflation </w:t>
      </w:r>
      <w:r w:rsidR="001B50E0">
        <w:rPr>
          <w:szCs w:val="22"/>
        </w:rPr>
        <w:t>R</w:t>
      </w:r>
      <w:r w:rsidRPr="003874DE">
        <w:rPr>
          <w:szCs w:val="22"/>
        </w:rPr>
        <w:t xml:space="preserve">eport, the Governor General turned his attention to the role of </w:t>
      </w:r>
      <w:r w:rsidR="001B50E0">
        <w:rPr>
          <w:szCs w:val="22"/>
        </w:rPr>
        <w:t>pay</w:t>
      </w:r>
      <w:r w:rsidRPr="003874DE">
        <w:rPr>
          <w:szCs w:val="22"/>
        </w:rPr>
        <w:t>, with a warning that “</w:t>
      </w:r>
      <w:r w:rsidRPr="003874DE">
        <w:rPr>
          <w:rFonts w:cs="Arial"/>
          <w:szCs w:val="22"/>
        </w:rPr>
        <w:t>the recovery is neither balanced nor sustainable. A few quarters of above trend growth driven by household spending are a good start but they aren't sufficient for sustained momentum.....wage growth remains weak, and the household savings rate is likely to fall further”</w:t>
      </w:r>
      <w:r w:rsidRPr="003874DE">
        <w:rPr>
          <w:rStyle w:val="FootnoteReference"/>
          <w:rFonts w:cs="Arial"/>
          <w:sz w:val="22"/>
          <w:szCs w:val="22"/>
        </w:rPr>
        <w:footnoteReference w:id="3"/>
      </w:r>
      <w:r w:rsidRPr="003874DE">
        <w:rPr>
          <w:rFonts w:cs="Arial"/>
          <w:szCs w:val="22"/>
        </w:rPr>
        <w:t>.</w:t>
      </w:r>
    </w:p>
    <w:p w:rsidR="002916E8" w:rsidRDefault="002916E8" w:rsidP="003874DE">
      <w:pPr>
        <w:pStyle w:val="T5TextBody"/>
        <w:spacing w:line="276" w:lineRule="auto"/>
        <w:rPr>
          <w:rFonts w:cs="Arial"/>
          <w:szCs w:val="22"/>
        </w:rPr>
      </w:pPr>
      <w:r w:rsidRPr="003874DE">
        <w:rPr>
          <w:rFonts w:cs="Arial"/>
          <w:szCs w:val="22"/>
        </w:rPr>
        <w:t xml:space="preserve">The national minimum wage cannot cure </w:t>
      </w:r>
      <w:r w:rsidR="0048264B">
        <w:rPr>
          <w:rFonts w:cs="Arial"/>
          <w:szCs w:val="22"/>
        </w:rPr>
        <w:t>the</w:t>
      </w:r>
      <w:r w:rsidR="0048264B" w:rsidRPr="003874DE">
        <w:rPr>
          <w:rFonts w:cs="Arial"/>
          <w:szCs w:val="22"/>
        </w:rPr>
        <w:t xml:space="preserve"> </w:t>
      </w:r>
      <w:r w:rsidRPr="003874DE">
        <w:rPr>
          <w:rFonts w:cs="Arial"/>
          <w:szCs w:val="22"/>
        </w:rPr>
        <w:t xml:space="preserve">problem </w:t>
      </w:r>
      <w:r w:rsidR="0048264B">
        <w:rPr>
          <w:rFonts w:cs="Arial"/>
          <w:szCs w:val="22"/>
        </w:rPr>
        <w:t xml:space="preserve">of slow earnings growth </w:t>
      </w:r>
      <w:r w:rsidRPr="003874DE">
        <w:rPr>
          <w:rFonts w:cs="Arial"/>
          <w:szCs w:val="22"/>
        </w:rPr>
        <w:t xml:space="preserve">on its own and government, employers and trade unions will all need to </w:t>
      </w:r>
      <w:r w:rsidR="000D05A0">
        <w:rPr>
          <w:rFonts w:cs="Arial"/>
          <w:szCs w:val="22"/>
        </w:rPr>
        <w:t>strive</w:t>
      </w:r>
      <w:r w:rsidR="0048264B">
        <w:rPr>
          <w:rFonts w:cs="Arial"/>
          <w:szCs w:val="22"/>
        </w:rPr>
        <w:t xml:space="preserve"> to secure stronger pay growth in the years ahead</w:t>
      </w:r>
      <w:r w:rsidRPr="003874DE">
        <w:rPr>
          <w:rFonts w:cs="Arial"/>
          <w:szCs w:val="22"/>
        </w:rPr>
        <w:t xml:space="preserve">. However, there is a strong sense that the minimum wage is an important part of the solution. The LPC must take its usual care in deliberating what the correct rates might be, but the current situation should lead them to consider carefully the dangers of undershooting as carefully as they consider the dangers of being too bold. </w:t>
      </w:r>
    </w:p>
    <w:p w:rsidR="0048264B" w:rsidRPr="003874DE" w:rsidRDefault="000D05A0" w:rsidP="003874DE">
      <w:pPr>
        <w:pStyle w:val="T5TextBody"/>
        <w:spacing w:line="276" w:lineRule="auto"/>
        <w:rPr>
          <w:rFonts w:cs="Arial"/>
          <w:szCs w:val="22"/>
        </w:rPr>
      </w:pPr>
      <w:r>
        <w:rPr>
          <w:rFonts w:cs="Arial"/>
          <w:szCs w:val="22"/>
        </w:rPr>
        <w:lastRenderedPageBreak/>
        <w:t>T</w:t>
      </w:r>
      <w:r w:rsidR="0048264B">
        <w:rPr>
          <w:rFonts w:cs="Arial"/>
          <w:szCs w:val="22"/>
        </w:rPr>
        <w:t xml:space="preserve">he economic data have improved substantially, and these welcome and long overdue improvements are increasing employers’ capacity to pay more. In its most recent Inflation Report the Bank of England recognised that employers’ margins are also improving, even despite strong recent employment growth. </w:t>
      </w:r>
    </w:p>
    <w:p w:rsidR="001603B9" w:rsidRPr="003874DE" w:rsidRDefault="00835C09" w:rsidP="003874DE">
      <w:pPr>
        <w:widowControl/>
        <w:spacing w:after="120" w:line="276" w:lineRule="auto"/>
        <w:rPr>
          <w:rFonts w:ascii="Sabon" w:hAnsi="Sabon"/>
          <w:sz w:val="22"/>
          <w:szCs w:val="22"/>
        </w:rPr>
      </w:pPr>
      <w:r w:rsidRPr="003874DE">
        <w:rPr>
          <w:rFonts w:ascii="Sabon" w:hAnsi="Sabon"/>
          <w:sz w:val="22"/>
          <w:szCs w:val="22"/>
        </w:rPr>
        <w:t xml:space="preserve">The TUC </w:t>
      </w:r>
      <w:r w:rsidR="00DE154C" w:rsidRPr="003874DE">
        <w:rPr>
          <w:rFonts w:ascii="Sabon" w:hAnsi="Sabon"/>
          <w:sz w:val="22"/>
          <w:szCs w:val="22"/>
        </w:rPr>
        <w:t xml:space="preserve">therefore </w:t>
      </w:r>
      <w:r w:rsidR="001603B9" w:rsidRPr="003874DE">
        <w:rPr>
          <w:rFonts w:ascii="Sabon" w:hAnsi="Sabon"/>
          <w:sz w:val="22"/>
          <w:szCs w:val="22"/>
        </w:rPr>
        <w:t>argue</w:t>
      </w:r>
      <w:r w:rsidRPr="003874DE">
        <w:rPr>
          <w:rFonts w:ascii="Sabon" w:hAnsi="Sabon"/>
          <w:sz w:val="22"/>
          <w:szCs w:val="22"/>
        </w:rPr>
        <w:t>s</w:t>
      </w:r>
      <w:r w:rsidR="001603B9" w:rsidRPr="003874DE">
        <w:rPr>
          <w:rFonts w:ascii="Sabon" w:hAnsi="Sabon"/>
          <w:sz w:val="22"/>
          <w:szCs w:val="22"/>
        </w:rPr>
        <w:t xml:space="preserve"> strongly for a much </w:t>
      </w:r>
      <w:r w:rsidR="0093071C" w:rsidRPr="003874DE">
        <w:rPr>
          <w:rFonts w:ascii="Sabon" w:hAnsi="Sabon"/>
          <w:sz w:val="22"/>
          <w:szCs w:val="22"/>
        </w:rPr>
        <w:t>more generous</w:t>
      </w:r>
      <w:r w:rsidR="001603B9" w:rsidRPr="003874DE">
        <w:rPr>
          <w:rFonts w:ascii="Sabon" w:hAnsi="Sabon"/>
          <w:sz w:val="22"/>
          <w:szCs w:val="22"/>
        </w:rPr>
        <w:t xml:space="preserve"> increase in the rates </w:t>
      </w:r>
      <w:r w:rsidR="00FA0438" w:rsidRPr="003874DE">
        <w:rPr>
          <w:rFonts w:ascii="Sabon" w:hAnsi="Sabon"/>
          <w:sz w:val="22"/>
          <w:szCs w:val="22"/>
        </w:rPr>
        <w:t>for</w:t>
      </w:r>
      <w:r w:rsidR="001603B9" w:rsidRPr="003874DE">
        <w:rPr>
          <w:rFonts w:ascii="Sabon" w:hAnsi="Sabon"/>
          <w:sz w:val="22"/>
          <w:szCs w:val="22"/>
        </w:rPr>
        <w:t xml:space="preserve"> 2015 on the basis of the merits of the evidence, which is now so much </w:t>
      </w:r>
      <w:r w:rsidR="00FA0438" w:rsidRPr="003874DE">
        <w:rPr>
          <w:rFonts w:ascii="Sabon" w:hAnsi="Sabon"/>
          <w:sz w:val="22"/>
          <w:szCs w:val="22"/>
        </w:rPr>
        <w:t>sunnier</w:t>
      </w:r>
      <w:r w:rsidR="001603B9" w:rsidRPr="003874DE">
        <w:rPr>
          <w:rFonts w:ascii="Sabon" w:hAnsi="Sabon"/>
          <w:sz w:val="22"/>
          <w:szCs w:val="22"/>
        </w:rPr>
        <w:t xml:space="preserve"> than it has been in the past six years</w:t>
      </w:r>
      <w:r w:rsidR="00DE154C" w:rsidRPr="003874DE">
        <w:rPr>
          <w:rFonts w:ascii="Sabon" w:hAnsi="Sabon"/>
          <w:sz w:val="22"/>
          <w:szCs w:val="22"/>
        </w:rPr>
        <w:t xml:space="preserve">. The TUC urges the LPC to recognise </w:t>
      </w:r>
      <w:r w:rsidR="00A82A2B" w:rsidRPr="003874DE">
        <w:rPr>
          <w:rFonts w:ascii="Sabon" w:hAnsi="Sabon"/>
          <w:sz w:val="22"/>
          <w:szCs w:val="22"/>
        </w:rPr>
        <w:t>that a</w:t>
      </w:r>
      <w:r w:rsidR="001603B9" w:rsidRPr="003874DE">
        <w:rPr>
          <w:rFonts w:ascii="Sabon" w:hAnsi="Sabon"/>
          <w:sz w:val="22"/>
          <w:szCs w:val="22"/>
        </w:rPr>
        <w:t xml:space="preserve"> new phase</w:t>
      </w:r>
      <w:r w:rsidR="00DE154C" w:rsidRPr="003874DE">
        <w:rPr>
          <w:rFonts w:ascii="Sabon" w:hAnsi="Sabon"/>
          <w:sz w:val="22"/>
          <w:szCs w:val="22"/>
        </w:rPr>
        <w:t xml:space="preserve"> of NMW rises, where substantially higher rises</w:t>
      </w:r>
      <w:r w:rsidR="0048264B">
        <w:rPr>
          <w:rFonts w:ascii="Sabon" w:hAnsi="Sabon"/>
          <w:sz w:val="22"/>
          <w:szCs w:val="22"/>
        </w:rPr>
        <w:t xml:space="preserve"> are provided,</w:t>
      </w:r>
      <w:r w:rsidR="00DE154C" w:rsidRPr="003874DE">
        <w:rPr>
          <w:rFonts w:ascii="Sabon" w:hAnsi="Sabon"/>
          <w:sz w:val="22"/>
          <w:szCs w:val="22"/>
        </w:rPr>
        <w:t xml:space="preserve"> is beginning.  </w:t>
      </w:r>
      <w:r w:rsidR="001603B9" w:rsidRPr="003874DE">
        <w:rPr>
          <w:rFonts w:ascii="Sabon" w:hAnsi="Sabon"/>
          <w:sz w:val="22"/>
          <w:szCs w:val="22"/>
        </w:rPr>
        <w:t xml:space="preserve"> </w:t>
      </w:r>
    </w:p>
    <w:p w:rsidR="001603B9" w:rsidRDefault="001603B9" w:rsidP="00322AD3">
      <w:pPr>
        <w:widowControl/>
        <w:spacing w:after="120" w:line="276" w:lineRule="auto"/>
        <w:rPr>
          <w:rFonts w:ascii="Sabon" w:hAnsi="Sabon"/>
          <w:sz w:val="22"/>
          <w:szCs w:val="22"/>
        </w:rPr>
      </w:pPr>
    </w:p>
    <w:p w:rsidR="00963446" w:rsidRDefault="00963446" w:rsidP="00963446">
      <w:pPr>
        <w:pStyle w:val="T11TextBody"/>
        <w:rPr>
          <w:rStyle w:val="T11TextBold"/>
        </w:rPr>
      </w:pPr>
      <w:r>
        <w:rPr>
          <w:rStyle w:val="T11TextBold"/>
        </w:rPr>
        <w:t xml:space="preserve">2: Low Pay Commission </w:t>
      </w:r>
      <w:r w:rsidR="005D78B3">
        <w:rPr>
          <w:rStyle w:val="T11TextBold"/>
        </w:rPr>
        <w:t>r</w:t>
      </w:r>
      <w:r>
        <w:rPr>
          <w:rStyle w:val="T11TextBold"/>
        </w:rPr>
        <w:t>emit 201</w:t>
      </w:r>
      <w:r w:rsidR="00DC272D">
        <w:rPr>
          <w:rStyle w:val="T11TextBold"/>
        </w:rPr>
        <w:t>3</w:t>
      </w:r>
    </w:p>
    <w:p w:rsidR="00963446" w:rsidRPr="00763E8A" w:rsidRDefault="00963446" w:rsidP="00322AD3">
      <w:pPr>
        <w:spacing w:line="276" w:lineRule="auto"/>
        <w:jc w:val="both"/>
        <w:rPr>
          <w:rFonts w:ascii="Sabon" w:hAnsi="Sabon" w:cs="Arial"/>
          <w:sz w:val="22"/>
          <w:szCs w:val="22"/>
          <w:lang w:eastAsia="en-GB"/>
        </w:rPr>
      </w:pPr>
      <w:r>
        <w:rPr>
          <w:rFonts w:ascii="Sabon" w:hAnsi="Sabon" w:cs="Arial"/>
          <w:sz w:val="22"/>
          <w:szCs w:val="22"/>
        </w:rPr>
        <w:t>T</w:t>
      </w:r>
      <w:r w:rsidRPr="00763E8A">
        <w:rPr>
          <w:rFonts w:ascii="Sabon" w:hAnsi="Sabon" w:cs="Arial"/>
          <w:sz w:val="22"/>
          <w:szCs w:val="22"/>
        </w:rPr>
        <w:t xml:space="preserve">he </w:t>
      </w:r>
      <w:r w:rsidRPr="00763E8A">
        <w:rPr>
          <w:rFonts w:ascii="Sabon" w:hAnsi="Sabon" w:cs="Arial"/>
          <w:sz w:val="22"/>
          <w:szCs w:val="22"/>
          <w:lang w:eastAsia="en-GB"/>
        </w:rPr>
        <w:t>Low Pay Commission’s remit for its current report asks it to:</w:t>
      </w:r>
    </w:p>
    <w:p w:rsidR="00963446" w:rsidRPr="00524F2D" w:rsidRDefault="00963446" w:rsidP="00322AD3">
      <w:pPr>
        <w:spacing w:line="276" w:lineRule="auto"/>
        <w:rPr>
          <w:rFonts w:ascii="Sabon" w:hAnsi="Sabon"/>
          <w:sz w:val="22"/>
          <w:szCs w:val="22"/>
          <w:lang w:eastAsia="en-GB"/>
        </w:rPr>
      </w:pPr>
    </w:p>
    <w:p w:rsidR="00242D12" w:rsidRPr="00242D12" w:rsidRDefault="00242D12" w:rsidP="00242D12">
      <w:pPr>
        <w:widowControl/>
        <w:autoSpaceDE w:val="0"/>
        <w:autoSpaceDN w:val="0"/>
        <w:adjustRightInd w:val="0"/>
        <w:spacing w:line="276" w:lineRule="auto"/>
        <w:rPr>
          <w:rFonts w:ascii="Sabon" w:hAnsi="Sabon" w:cs="Arial"/>
          <w:snapToGrid/>
          <w:color w:val="000000"/>
          <w:sz w:val="22"/>
          <w:szCs w:val="22"/>
          <w:lang w:eastAsia="en-GB"/>
        </w:rPr>
      </w:pPr>
      <w:r>
        <w:rPr>
          <w:rFonts w:ascii="Sabon" w:hAnsi="Sabon" w:cs="Arial"/>
          <w:snapToGrid/>
          <w:color w:val="000000"/>
          <w:sz w:val="22"/>
          <w:szCs w:val="22"/>
          <w:lang w:eastAsia="en-GB"/>
        </w:rPr>
        <w:t>“</w:t>
      </w:r>
      <w:r w:rsidRPr="00242D12">
        <w:rPr>
          <w:rFonts w:ascii="Sabon" w:hAnsi="Sabon" w:cs="Arial"/>
          <w:snapToGrid/>
          <w:color w:val="000000"/>
          <w:sz w:val="22"/>
          <w:szCs w:val="22"/>
          <w:lang w:eastAsia="en-GB"/>
        </w:rPr>
        <w:t xml:space="preserve">1. Monitor, evaluate and review the levels of each of the different NMW rates and make recommendations on the levels it believes should apply from October 2015. </w:t>
      </w:r>
    </w:p>
    <w:p w:rsidR="00242D12" w:rsidRDefault="00242D12" w:rsidP="00242D12">
      <w:pPr>
        <w:widowControl/>
        <w:autoSpaceDE w:val="0"/>
        <w:autoSpaceDN w:val="0"/>
        <w:adjustRightInd w:val="0"/>
        <w:spacing w:line="276" w:lineRule="auto"/>
        <w:rPr>
          <w:rFonts w:ascii="Sabon" w:hAnsi="Sabon" w:cs="Arial"/>
          <w:snapToGrid/>
          <w:color w:val="000000"/>
          <w:sz w:val="22"/>
          <w:szCs w:val="22"/>
          <w:lang w:eastAsia="en-GB"/>
        </w:rPr>
      </w:pPr>
    </w:p>
    <w:p w:rsidR="00242D12" w:rsidRDefault="00242D12" w:rsidP="00242D12">
      <w:pPr>
        <w:widowControl/>
        <w:autoSpaceDE w:val="0"/>
        <w:autoSpaceDN w:val="0"/>
        <w:adjustRightInd w:val="0"/>
        <w:spacing w:line="276" w:lineRule="auto"/>
        <w:rPr>
          <w:rFonts w:ascii="Sabon" w:hAnsi="Sabon" w:cs="Arial"/>
          <w:snapToGrid/>
          <w:color w:val="000000"/>
          <w:sz w:val="22"/>
          <w:szCs w:val="22"/>
          <w:lang w:eastAsia="en-GB"/>
        </w:rPr>
      </w:pPr>
      <w:r w:rsidRPr="00242D12">
        <w:rPr>
          <w:rFonts w:ascii="Sabon" w:hAnsi="Sabon" w:cs="Arial"/>
          <w:snapToGrid/>
          <w:color w:val="000000"/>
          <w:sz w:val="22"/>
          <w:szCs w:val="22"/>
          <w:lang w:eastAsia="en-GB"/>
        </w:rPr>
        <w:t xml:space="preserve">2. Consider whether: </w:t>
      </w:r>
    </w:p>
    <w:p w:rsidR="00242D12" w:rsidRPr="00CC5D18" w:rsidRDefault="00242D12" w:rsidP="007512AE">
      <w:pPr>
        <w:pStyle w:val="ListParagraph"/>
        <w:widowControl/>
        <w:numPr>
          <w:ilvl w:val="0"/>
          <w:numId w:val="18"/>
        </w:numPr>
        <w:autoSpaceDE w:val="0"/>
        <w:autoSpaceDN w:val="0"/>
        <w:adjustRightInd w:val="0"/>
        <w:spacing w:line="276" w:lineRule="auto"/>
        <w:rPr>
          <w:rFonts w:ascii="Sabon" w:hAnsi="Sabon" w:cs="Arial"/>
          <w:snapToGrid/>
          <w:color w:val="000000"/>
          <w:sz w:val="22"/>
          <w:szCs w:val="22"/>
          <w:lang w:eastAsia="en-GB"/>
        </w:rPr>
      </w:pPr>
      <w:r w:rsidRPr="00CC5D18">
        <w:rPr>
          <w:rFonts w:ascii="Sabon" w:hAnsi="Sabon" w:cs="Arial"/>
          <w:snapToGrid/>
          <w:color w:val="000000"/>
          <w:sz w:val="22"/>
          <w:szCs w:val="22"/>
          <w:lang w:eastAsia="en-GB"/>
        </w:rPr>
        <w:t>Any changes can be made to the apprentice rate to make the structure simpler and improve compliance</w:t>
      </w:r>
      <w:r w:rsidR="00DE154C">
        <w:rPr>
          <w:rFonts w:ascii="Sabon" w:hAnsi="Sabon" w:cs="Arial"/>
          <w:snapToGrid/>
          <w:color w:val="000000"/>
          <w:sz w:val="22"/>
          <w:szCs w:val="22"/>
          <w:lang w:eastAsia="en-GB"/>
        </w:rPr>
        <w:t>;</w:t>
      </w:r>
      <w:r w:rsidRPr="00CC5D18">
        <w:rPr>
          <w:rFonts w:ascii="Sabon" w:hAnsi="Sabon" w:cs="Arial"/>
          <w:snapToGrid/>
          <w:color w:val="000000"/>
          <w:sz w:val="22"/>
          <w:szCs w:val="22"/>
          <w:lang w:eastAsia="en-GB"/>
        </w:rPr>
        <w:t xml:space="preserve"> and </w:t>
      </w:r>
    </w:p>
    <w:p w:rsidR="00242D12" w:rsidRPr="00CC5D18" w:rsidRDefault="00242D12" w:rsidP="007512AE">
      <w:pPr>
        <w:pStyle w:val="ListParagraph"/>
        <w:widowControl/>
        <w:numPr>
          <w:ilvl w:val="0"/>
          <w:numId w:val="18"/>
        </w:numPr>
        <w:autoSpaceDE w:val="0"/>
        <w:autoSpaceDN w:val="0"/>
        <w:adjustRightInd w:val="0"/>
        <w:spacing w:line="276" w:lineRule="auto"/>
        <w:rPr>
          <w:rFonts w:ascii="Sabon" w:hAnsi="Sabon" w:cs="Arial"/>
          <w:snapToGrid/>
          <w:color w:val="000000"/>
          <w:sz w:val="22"/>
          <w:szCs w:val="22"/>
          <w:lang w:eastAsia="en-GB"/>
        </w:rPr>
      </w:pPr>
      <w:r w:rsidRPr="00CC5D18">
        <w:rPr>
          <w:rFonts w:ascii="Sabon" w:hAnsi="Sabon" w:cs="Arial"/>
          <w:snapToGrid/>
          <w:color w:val="000000"/>
          <w:sz w:val="22"/>
          <w:szCs w:val="22"/>
          <w:lang w:eastAsia="en-GB"/>
        </w:rPr>
        <w:t xml:space="preserve">The structure and level of the apprentice rate should continue to be applied to all levels of apprenticeship, including higher levels. </w:t>
      </w:r>
    </w:p>
    <w:p w:rsidR="00242D12" w:rsidRPr="00242D12" w:rsidRDefault="00242D12" w:rsidP="00242D12">
      <w:pPr>
        <w:widowControl/>
        <w:autoSpaceDE w:val="0"/>
        <w:autoSpaceDN w:val="0"/>
        <w:adjustRightInd w:val="0"/>
        <w:spacing w:line="276" w:lineRule="auto"/>
        <w:rPr>
          <w:rFonts w:ascii="Sabon" w:hAnsi="Sabon" w:cs="Arial"/>
          <w:snapToGrid/>
          <w:color w:val="000000"/>
          <w:sz w:val="22"/>
          <w:szCs w:val="22"/>
          <w:lang w:eastAsia="en-GB"/>
        </w:rPr>
      </w:pPr>
    </w:p>
    <w:p w:rsidR="00242D12" w:rsidRPr="00242D12" w:rsidRDefault="00242D12" w:rsidP="00242D12">
      <w:pPr>
        <w:widowControl/>
        <w:autoSpaceDE w:val="0"/>
        <w:autoSpaceDN w:val="0"/>
        <w:adjustRightInd w:val="0"/>
        <w:spacing w:line="276" w:lineRule="auto"/>
        <w:rPr>
          <w:rFonts w:ascii="Sabon" w:hAnsi="Sabon" w:cs="Arial"/>
          <w:snapToGrid/>
          <w:color w:val="000000"/>
          <w:sz w:val="22"/>
          <w:szCs w:val="22"/>
          <w:lang w:eastAsia="en-GB"/>
        </w:rPr>
      </w:pPr>
      <w:r w:rsidRPr="00242D12">
        <w:rPr>
          <w:rFonts w:ascii="Sabon" w:hAnsi="Sabon" w:cs="Arial"/>
          <w:snapToGrid/>
          <w:color w:val="000000"/>
          <w:sz w:val="22"/>
          <w:szCs w:val="22"/>
          <w:lang w:eastAsia="en-GB"/>
        </w:rPr>
        <w:t xml:space="preserve">3. Review the conditions that need to be in place to allow the value of the minimum wage to increase in real terms. This would include an update on your advice on the future path of the NMW. </w:t>
      </w:r>
    </w:p>
    <w:p w:rsidR="00242D12" w:rsidRPr="00242D12" w:rsidRDefault="00242D12" w:rsidP="00242D12">
      <w:pPr>
        <w:widowControl/>
        <w:autoSpaceDE w:val="0"/>
        <w:autoSpaceDN w:val="0"/>
        <w:adjustRightInd w:val="0"/>
        <w:spacing w:line="276" w:lineRule="auto"/>
        <w:rPr>
          <w:rFonts w:ascii="Sabon" w:hAnsi="Sabon" w:cs="Arial"/>
          <w:snapToGrid/>
          <w:color w:val="000000"/>
          <w:sz w:val="22"/>
          <w:szCs w:val="22"/>
          <w:lang w:eastAsia="en-GB"/>
        </w:rPr>
      </w:pPr>
    </w:p>
    <w:p w:rsidR="0093010E" w:rsidRPr="0093010E" w:rsidRDefault="00242D12" w:rsidP="00322AD3">
      <w:pPr>
        <w:widowControl/>
        <w:autoSpaceDE w:val="0"/>
        <w:autoSpaceDN w:val="0"/>
        <w:adjustRightInd w:val="0"/>
        <w:spacing w:line="276" w:lineRule="auto"/>
        <w:rPr>
          <w:rFonts w:ascii="Sabon" w:hAnsi="Sabon"/>
          <w:sz w:val="22"/>
          <w:szCs w:val="22"/>
          <w:lang w:val="en-US" w:eastAsia="en-GB"/>
        </w:rPr>
      </w:pPr>
      <w:r w:rsidRPr="00242D12">
        <w:rPr>
          <w:rFonts w:ascii="Sabon" w:hAnsi="Sabon" w:cs="Arial"/>
          <w:snapToGrid/>
          <w:color w:val="000000"/>
          <w:sz w:val="22"/>
          <w:szCs w:val="22"/>
          <w:lang w:eastAsia="en-GB"/>
        </w:rPr>
        <w:t>In making recommendations in the areas set out above, the LPC is asked to take account of the state of the economy, employment and unemployment levels, and relevant policy changes.</w:t>
      </w:r>
      <w:r>
        <w:rPr>
          <w:rFonts w:ascii="Sabon" w:hAnsi="Sabon" w:cs="Arial"/>
          <w:snapToGrid/>
          <w:color w:val="000000"/>
          <w:sz w:val="22"/>
          <w:szCs w:val="22"/>
          <w:lang w:eastAsia="en-GB"/>
        </w:rPr>
        <w:t>”</w:t>
      </w:r>
      <w:r w:rsidR="0093010E">
        <w:rPr>
          <w:rStyle w:val="FootnoteReference"/>
          <w:rFonts w:ascii="Sabon" w:hAnsi="Sabon" w:cs="Arial"/>
          <w:snapToGrid/>
          <w:szCs w:val="22"/>
          <w:lang w:eastAsia="en-GB"/>
        </w:rPr>
        <w:footnoteReference w:id="4"/>
      </w:r>
    </w:p>
    <w:p w:rsidR="00FA0438" w:rsidRDefault="00FA0438" w:rsidP="00963446">
      <w:pPr>
        <w:pStyle w:val="T5TextHeadng"/>
      </w:pPr>
    </w:p>
    <w:p w:rsidR="000550AF" w:rsidRDefault="003D791C" w:rsidP="00963446">
      <w:pPr>
        <w:pStyle w:val="T5TextHeadng"/>
      </w:pPr>
      <w:r>
        <w:t>3</w:t>
      </w:r>
      <w:r w:rsidR="000550AF">
        <w:t>: The UK economy during the past year</w:t>
      </w:r>
    </w:p>
    <w:p w:rsidR="000550AF" w:rsidRPr="003874DE" w:rsidRDefault="00FA0438" w:rsidP="003874DE">
      <w:pPr>
        <w:pStyle w:val="T5TextBody"/>
        <w:spacing w:line="276" w:lineRule="auto"/>
        <w:rPr>
          <w:szCs w:val="22"/>
        </w:rPr>
      </w:pPr>
      <w:r w:rsidRPr="003874DE">
        <w:rPr>
          <w:szCs w:val="22"/>
        </w:rPr>
        <w:t>When</w:t>
      </w:r>
      <w:r w:rsidR="000550AF" w:rsidRPr="003874DE">
        <w:rPr>
          <w:szCs w:val="22"/>
        </w:rPr>
        <w:t xml:space="preserve"> the TUC gave oral </w:t>
      </w:r>
      <w:r w:rsidRPr="003874DE">
        <w:rPr>
          <w:szCs w:val="22"/>
        </w:rPr>
        <w:t>evidence</w:t>
      </w:r>
      <w:r w:rsidR="000550AF" w:rsidRPr="003874DE">
        <w:rPr>
          <w:szCs w:val="22"/>
        </w:rPr>
        <w:t xml:space="preserve"> to the Low Pay Commission in November 2013, we said that the economic </w:t>
      </w:r>
      <w:r w:rsidR="003C1399" w:rsidRPr="003874DE">
        <w:rPr>
          <w:szCs w:val="22"/>
        </w:rPr>
        <w:t>prospects</w:t>
      </w:r>
      <w:r w:rsidR="000550AF" w:rsidRPr="003874DE">
        <w:rPr>
          <w:szCs w:val="22"/>
        </w:rPr>
        <w:t xml:space="preserve"> generally looked to be </w:t>
      </w:r>
      <w:r w:rsidR="003C1399" w:rsidRPr="003874DE">
        <w:rPr>
          <w:szCs w:val="22"/>
        </w:rPr>
        <w:t>exceptionally</w:t>
      </w:r>
      <w:r w:rsidR="000550AF" w:rsidRPr="003874DE">
        <w:rPr>
          <w:szCs w:val="22"/>
        </w:rPr>
        <w:t xml:space="preserve"> </w:t>
      </w:r>
      <w:r w:rsidR="00DE154C" w:rsidRPr="003874DE">
        <w:rPr>
          <w:szCs w:val="22"/>
        </w:rPr>
        <w:t>positive</w:t>
      </w:r>
      <w:r w:rsidR="000550AF" w:rsidRPr="003874DE">
        <w:rPr>
          <w:szCs w:val="22"/>
        </w:rPr>
        <w:t xml:space="preserve">, although we </w:t>
      </w:r>
      <w:r w:rsidR="003C1399" w:rsidRPr="003874DE">
        <w:rPr>
          <w:szCs w:val="22"/>
        </w:rPr>
        <w:t>acknowledged</w:t>
      </w:r>
      <w:r w:rsidR="000550AF" w:rsidRPr="003874DE">
        <w:rPr>
          <w:szCs w:val="22"/>
        </w:rPr>
        <w:t xml:space="preserve"> that there might still be some threats.</w:t>
      </w:r>
    </w:p>
    <w:p w:rsidR="000550AF" w:rsidRPr="003874DE" w:rsidRDefault="0048264B" w:rsidP="003874DE">
      <w:pPr>
        <w:pStyle w:val="T5TextBody"/>
        <w:spacing w:line="276" w:lineRule="auto"/>
        <w:rPr>
          <w:szCs w:val="22"/>
        </w:rPr>
      </w:pPr>
      <w:r>
        <w:rPr>
          <w:szCs w:val="22"/>
        </w:rPr>
        <w:t>Thankfully these downside risks have not come to pass, and as</w:t>
      </w:r>
      <w:r w:rsidRPr="003874DE">
        <w:rPr>
          <w:szCs w:val="22"/>
        </w:rPr>
        <w:t xml:space="preserve"> </w:t>
      </w:r>
      <w:r w:rsidR="003C1399" w:rsidRPr="003874DE">
        <w:rPr>
          <w:szCs w:val="22"/>
        </w:rPr>
        <w:t>the table below show</w:t>
      </w:r>
      <w:r>
        <w:rPr>
          <w:szCs w:val="22"/>
        </w:rPr>
        <w:t>s</w:t>
      </w:r>
      <w:r w:rsidR="003C1399" w:rsidRPr="003874DE">
        <w:rPr>
          <w:szCs w:val="22"/>
        </w:rPr>
        <w:t xml:space="preserve">, </w:t>
      </w:r>
      <w:r w:rsidR="00DE154C" w:rsidRPr="003874DE">
        <w:rPr>
          <w:szCs w:val="22"/>
        </w:rPr>
        <w:t xml:space="preserve">on most of the key measures our </w:t>
      </w:r>
      <w:r w:rsidR="003C1399" w:rsidRPr="003874DE">
        <w:rPr>
          <w:szCs w:val="22"/>
        </w:rPr>
        <w:t>prediction</w:t>
      </w:r>
      <w:r w:rsidR="001B50E0">
        <w:rPr>
          <w:szCs w:val="22"/>
        </w:rPr>
        <w:t>s</w:t>
      </w:r>
      <w:r w:rsidR="003C1399" w:rsidRPr="003874DE">
        <w:rPr>
          <w:szCs w:val="22"/>
        </w:rPr>
        <w:t xml:space="preserve"> ha</w:t>
      </w:r>
      <w:r w:rsidR="001B50E0">
        <w:rPr>
          <w:szCs w:val="22"/>
        </w:rPr>
        <w:t>ve</w:t>
      </w:r>
      <w:r w:rsidR="003C1399" w:rsidRPr="003874DE">
        <w:rPr>
          <w:szCs w:val="22"/>
        </w:rPr>
        <w:t xml:space="preserve"> largely been fulfilled. </w:t>
      </w:r>
      <w:r w:rsidR="003E3CF1" w:rsidRPr="003874DE">
        <w:rPr>
          <w:szCs w:val="22"/>
        </w:rPr>
        <w:t xml:space="preserve">These </w:t>
      </w:r>
      <w:r w:rsidR="003C1399" w:rsidRPr="003874DE">
        <w:rPr>
          <w:szCs w:val="22"/>
        </w:rPr>
        <w:t>indicators</w:t>
      </w:r>
      <w:r w:rsidR="003E3CF1" w:rsidRPr="003874DE">
        <w:rPr>
          <w:szCs w:val="22"/>
        </w:rPr>
        <w:t xml:space="preserve"> are much improved </w:t>
      </w:r>
      <w:r w:rsidR="003C1399" w:rsidRPr="003874DE">
        <w:rPr>
          <w:szCs w:val="22"/>
        </w:rPr>
        <w:t>compared</w:t>
      </w:r>
      <w:r w:rsidR="003E3CF1" w:rsidRPr="003874DE">
        <w:rPr>
          <w:szCs w:val="22"/>
        </w:rPr>
        <w:t xml:space="preserve"> with last </w:t>
      </w:r>
      <w:r w:rsidR="003C1399" w:rsidRPr="003874DE">
        <w:rPr>
          <w:szCs w:val="22"/>
        </w:rPr>
        <w:t>year’s</w:t>
      </w:r>
      <w:r w:rsidR="003E3CF1" w:rsidRPr="003874DE">
        <w:rPr>
          <w:szCs w:val="22"/>
        </w:rPr>
        <w:t xml:space="preserve"> figures.</w:t>
      </w:r>
    </w:p>
    <w:p w:rsidR="00830E1E" w:rsidRPr="003874DE" w:rsidRDefault="003C1399" w:rsidP="003874DE">
      <w:pPr>
        <w:pStyle w:val="T5TextBody"/>
        <w:spacing w:line="276" w:lineRule="auto"/>
        <w:rPr>
          <w:szCs w:val="22"/>
        </w:rPr>
      </w:pPr>
      <w:r w:rsidRPr="003874DE">
        <w:rPr>
          <w:szCs w:val="22"/>
        </w:rPr>
        <w:lastRenderedPageBreak/>
        <w:t xml:space="preserve">GDP growth has strengthened, </w:t>
      </w:r>
      <w:r w:rsidR="00DE154C" w:rsidRPr="003874DE">
        <w:rPr>
          <w:szCs w:val="22"/>
        </w:rPr>
        <w:t>and the economy has finally returned to its pre-recession peak, a welcome if long overdue landmark</w:t>
      </w:r>
      <w:r w:rsidRPr="003874DE">
        <w:rPr>
          <w:szCs w:val="22"/>
        </w:rPr>
        <w:t xml:space="preserve">. </w:t>
      </w:r>
      <w:r w:rsidR="00B67D4D" w:rsidRPr="003874DE">
        <w:rPr>
          <w:szCs w:val="22"/>
        </w:rPr>
        <w:t xml:space="preserve">Inflation has fallen back, to the extent </w:t>
      </w:r>
      <w:r w:rsidRPr="003874DE">
        <w:rPr>
          <w:szCs w:val="22"/>
        </w:rPr>
        <w:t>where</w:t>
      </w:r>
      <w:r w:rsidR="00B67D4D" w:rsidRPr="003874DE">
        <w:rPr>
          <w:szCs w:val="22"/>
        </w:rPr>
        <w:t xml:space="preserve"> it is perhaps </w:t>
      </w:r>
      <w:r w:rsidR="00DE154C" w:rsidRPr="003874DE">
        <w:rPr>
          <w:szCs w:val="22"/>
        </w:rPr>
        <w:t xml:space="preserve">even </w:t>
      </w:r>
      <w:r w:rsidR="00B67D4D" w:rsidRPr="003874DE">
        <w:rPr>
          <w:szCs w:val="22"/>
        </w:rPr>
        <w:t xml:space="preserve">a </w:t>
      </w:r>
      <w:r w:rsidRPr="003874DE">
        <w:rPr>
          <w:szCs w:val="22"/>
        </w:rPr>
        <w:t>little</w:t>
      </w:r>
      <w:r w:rsidR="00B67D4D" w:rsidRPr="003874DE">
        <w:rPr>
          <w:szCs w:val="22"/>
        </w:rPr>
        <w:t xml:space="preserve"> lower </w:t>
      </w:r>
      <w:r w:rsidRPr="003874DE">
        <w:rPr>
          <w:szCs w:val="22"/>
        </w:rPr>
        <w:t>than</w:t>
      </w:r>
      <w:r w:rsidR="00B67D4D" w:rsidRPr="003874DE">
        <w:rPr>
          <w:szCs w:val="22"/>
        </w:rPr>
        <w:t xml:space="preserve"> we would expect in a strong recovery. </w:t>
      </w:r>
    </w:p>
    <w:p w:rsidR="00B6384B" w:rsidRPr="003874DE" w:rsidRDefault="003E46B8" w:rsidP="003874DE">
      <w:pPr>
        <w:pStyle w:val="T5TextBody"/>
        <w:spacing w:line="276" w:lineRule="auto"/>
        <w:rPr>
          <w:szCs w:val="22"/>
        </w:rPr>
      </w:pPr>
      <w:r w:rsidRPr="003874DE">
        <w:rPr>
          <w:szCs w:val="22"/>
        </w:rPr>
        <w:t>B</w:t>
      </w:r>
      <w:r w:rsidR="00B67D4D" w:rsidRPr="003874DE">
        <w:rPr>
          <w:szCs w:val="22"/>
        </w:rPr>
        <w:t>y far the most positive aspect has been the sharp fall in unemployment an</w:t>
      </w:r>
      <w:r w:rsidR="0048264B">
        <w:rPr>
          <w:szCs w:val="22"/>
        </w:rPr>
        <w:t>d an</w:t>
      </w:r>
      <w:r w:rsidR="00B67D4D" w:rsidRPr="003874DE">
        <w:rPr>
          <w:szCs w:val="22"/>
        </w:rPr>
        <w:t xml:space="preserve"> </w:t>
      </w:r>
      <w:r w:rsidR="003C1399" w:rsidRPr="003874DE">
        <w:rPr>
          <w:szCs w:val="22"/>
        </w:rPr>
        <w:t>even</w:t>
      </w:r>
      <w:r w:rsidR="00B67D4D" w:rsidRPr="003874DE">
        <w:rPr>
          <w:szCs w:val="22"/>
        </w:rPr>
        <w:t xml:space="preserve"> sharper rise in employment during the past year, with </w:t>
      </w:r>
      <w:r w:rsidR="003C1399" w:rsidRPr="003874DE">
        <w:rPr>
          <w:szCs w:val="22"/>
        </w:rPr>
        <w:t>the latest</w:t>
      </w:r>
      <w:r w:rsidR="00B67D4D" w:rsidRPr="003874DE">
        <w:rPr>
          <w:szCs w:val="22"/>
        </w:rPr>
        <w:t xml:space="preserve"> figures show</w:t>
      </w:r>
      <w:r w:rsidR="00830E1E" w:rsidRPr="003874DE">
        <w:rPr>
          <w:szCs w:val="22"/>
        </w:rPr>
        <w:t xml:space="preserve">ing </w:t>
      </w:r>
      <w:r w:rsidR="00B67D4D" w:rsidRPr="003874DE">
        <w:rPr>
          <w:szCs w:val="22"/>
        </w:rPr>
        <w:t xml:space="preserve">an increase of </w:t>
      </w:r>
      <w:r w:rsidR="00DF4C23" w:rsidRPr="003874DE">
        <w:rPr>
          <w:szCs w:val="22"/>
        </w:rPr>
        <w:t xml:space="preserve">440,000 </w:t>
      </w:r>
      <w:r w:rsidR="00B67D4D" w:rsidRPr="003874DE">
        <w:rPr>
          <w:szCs w:val="22"/>
        </w:rPr>
        <w:t>employee</w:t>
      </w:r>
      <w:r w:rsidR="00DF4C23" w:rsidRPr="003874DE">
        <w:rPr>
          <w:szCs w:val="22"/>
        </w:rPr>
        <w:t>s</w:t>
      </w:r>
      <w:r w:rsidR="00B6384B" w:rsidRPr="003874DE">
        <w:rPr>
          <w:szCs w:val="22"/>
        </w:rPr>
        <w:t>.</w:t>
      </w:r>
    </w:p>
    <w:p w:rsidR="00830E1E" w:rsidRPr="003874DE" w:rsidRDefault="00DF4C23" w:rsidP="003874DE">
      <w:pPr>
        <w:pStyle w:val="T5TextBody"/>
        <w:spacing w:line="276" w:lineRule="auto"/>
        <w:rPr>
          <w:szCs w:val="22"/>
        </w:rPr>
      </w:pPr>
      <w:r w:rsidRPr="003874DE">
        <w:rPr>
          <w:szCs w:val="22"/>
        </w:rPr>
        <w:t xml:space="preserve">Much of the focus in the media has been on the rise in self-employment. </w:t>
      </w:r>
      <w:r w:rsidR="00116ED7" w:rsidRPr="003874DE">
        <w:rPr>
          <w:szCs w:val="22"/>
        </w:rPr>
        <w:t xml:space="preserve">However, it should also be noted that the number of employees has now exceeded the pre-recession peak by just over a quarter of a million. </w:t>
      </w:r>
    </w:p>
    <w:p w:rsidR="000A65E3" w:rsidRPr="003874DE" w:rsidRDefault="00B6384B" w:rsidP="003874DE">
      <w:pPr>
        <w:pStyle w:val="T5TextBody"/>
        <w:spacing w:line="276" w:lineRule="auto"/>
        <w:rPr>
          <w:szCs w:val="22"/>
        </w:rPr>
      </w:pPr>
      <w:r w:rsidRPr="003874DE">
        <w:rPr>
          <w:szCs w:val="22"/>
        </w:rPr>
        <w:t xml:space="preserve">In contrast, AWE pay growth has been very disappointing. However, there is </w:t>
      </w:r>
      <w:r w:rsidR="003C1399" w:rsidRPr="003874DE">
        <w:rPr>
          <w:szCs w:val="22"/>
        </w:rPr>
        <w:t>evidence</w:t>
      </w:r>
      <w:r w:rsidRPr="003874DE">
        <w:rPr>
          <w:szCs w:val="22"/>
        </w:rPr>
        <w:t xml:space="preserve"> that the </w:t>
      </w:r>
      <w:r w:rsidR="003C1399" w:rsidRPr="003874DE">
        <w:rPr>
          <w:szCs w:val="22"/>
        </w:rPr>
        <w:t>average</w:t>
      </w:r>
      <w:r w:rsidRPr="003874DE">
        <w:rPr>
          <w:szCs w:val="22"/>
        </w:rPr>
        <w:t xml:space="preserve"> has been strongly depressed by compositional effects</w:t>
      </w:r>
      <w:r w:rsidR="00DE154C" w:rsidRPr="003874DE">
        <w:rPr>
          <w:szCs w:val="22"/>
        </w:rPr>
        <w:t xml:space="preserve"> including a relative rise in employment in low paying sectors and an increase in the share of part-time employment</w:t>
      </w:r>
      <w:r w:rsidRPr="003874DE">
        <w:rPr>
          <w:szCs w:val="22"/>
        </w:rPr>
        <w:t>.</w:t>
      </w:r>
      <w:r w:rsidR="000A65E3" w:rsidRPr="003874DE">
        <w:rPr>
          <w:szCs w:val="22"/>
        </w:rPr>
        <w:t xml:space="preserve"> In addition, average earnings are forecast to recover, increasing in real terms in 2015 and 2016. </w:t>
      </w:r>
    </w:p>
    <w:p w:rsidR="003E3CF1" w:rsidRPr="00416000" w:rsidRDefault="00AF4DEF" w:rsidP="003E3CF1">
      <w:pPr>
        <w:rPr>
          <w:rFonts w:ascii="Frutiger 55" w:hAnsi="Frutiger 55"/>
          <w:b/>
          <w:i/>
          <w:sz w:val="22"/>
          <w:szCs w:val="22"/>
        </w:rPr>
      </w:pPr>
      <w:r>
        <w:rPr>
          <w:rFonts w:ascii="Frutiger 55" w:hAnsi="Frutiger 55"/>
          <w:b/>
          <w:i/>
          <w:sz w:val="22"/>
          <w:szCs w:val="22"/>
        </w:rPr>
        <w:t>Latest</w:t>
      </w:r>
      <w:r w:rsidR="007365EC">
        <w:rPr>
          <w:rFonts w:ascii="Frutiger 55" w:hAnsi="Frutiger 55"/>
          <w:b/>
          <w:i/>
          <w:sz w:val="22"/>
          <w:szCs w:val="22"/>
        </w:rPr>
        <w:t xml:space="preserve"> f</w:t>
      </w:r>
      <w:r w:rsidR="003E3CF1">
        <w:rPr>
          <w:rFonts w:ascii="Frutiger 55" w:hAnsi="Frutiger 55"/>
          <w:b/>
          <w:i/>
          <w:sz w:val="22"/>
          <w:szCs w:val="22"/>
        </w:rPr>
        <w:t xml:space="preserve">igures </w:t>
      </w:r>
      <w:r w:rsidR="003E3CF1" w:rsidRPr="00416000">
        <w:rPr>
          <w:rFonts w:ascii="Frutiger 55" w:hAnsi="Frutiger 55"/>
          <w:b/>
          <w:i/>
          <w:sz w:val="22"/>
          <w:szCs w:val="22"/>
        </w:rPr>
        <w:t>for the UK economy</w:t>
      </w:r>
      <w:r w:rsidR="003E3CF1">
        <w:rPr>
          <w:rFonts w:ascii="Frutiger 55" w:hAnsi="Frutiger 55"/>
          <w:b/>
          <w:i/>
          <w:sz w:val="22"/>
          <w:szCs w:val="22"/>
        </w:rPr>
        <w:t xml:space="preserve"> showing change from last year</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276"/>
        <w:gridCol w:w="2410"/>
      </w:tblGrid>
      <w:tr w:rsidR="00223171" w:rsidTr="00CF07B5">
        <w:tc>
          <w:tcPr>
            <w:tcW w:w="2802" w:type="dxa"/>
          </w:tcPr>
          <w:p w:rsidR="00223171" w:rsidRPr="00DE154C" w:rsidRDefault="00223171" w:rsidP="003E3CF1">
            <w:pPr>
              <w:rPr>
                <w:rFonts w:ascii="Sabon" w:hAnsi="Sabon"/>
                <w:b/>
                <w:sz w:val="22"/>
                <w:szCs w:val="22"/>
              </w:rPr>
            </w:pPr>
            <w:r w:rsidRPr="00C23B98">
              <w:rPr>
                <w:rFonts w:ascii="Sabon" w:hAnsi="Sabon"/>
                <w:b/>
                <w:sz w:val="22"/>
                <w:szCs w:val="22"/>
              </w:rPr>
              <w:t>Economic indicator</w:t>
            </w:r>
          </w:p>
        </w:tc>
        <w:tc>
          <w:tcPr>
            <w:tcW w:w="1275" w:type="dxa"/>
          </w:tcPr>
          <w:p w:rsidR="00223171" w:rsidRPr="00DE154C" w:rsidRDefault="00223171" w:rsidP="0048264B">
            <w:pPr>
              <w:jc w:val="center"/>
              <w:rPr>
                <w:rFonts w:ascii="Sabon" w:hAnsi="Sabon"/>
                <w:b/>
                <w:sz w:val="22"/>
                <w:szCs w:val="22"/>
              </w:rPr>
            </w:pPr>
            <w:r w:rsidRPr="00C23B98">
              <w:rPr>
                <w:rFonts w:ascii="Sabon" w:hAnsi="Sabon"/>
                <w:b/>
                <w:sz w:val="22"/>
                <w:szCs w:val="22"/>
              </w:rPr>
              <w:t>2013</w:t>
            </w:r>
          </w:p>
        </w:tc>
        <w:tc>
          <w:tcPr>
            <w:tcW w:w="1276" w:type="dxa"/>
          </w:tcPr>
          <w:p w:rsidR="00223171" w:rsidRPr="00DE154C" w:rsidRDefault="00223171" w:rsidP="0048264B">
            <w:pPr>
              <w:jc w:val="center"/>
              <w:rPr>
                <w:rFonts w:ascii="Sabon" w:hAnsi="Sabon"/>
                <w:b/>
                <w:sz w:val="22"/>
                <w:szCs w:val="22"/>
              </w:rPr>
            </w:pPr>
            <w:r w:rsidRPr="00C23B98">
              <w:rPr>
                <w:rFonts w:ascii="Sabon" w:hAnsi="Sabon"/>
                <w:b/>
                <w:sz w:val="22"/>
                <w:szCs w:val="22"/>
              </w:rPr>
              <w:t>2014</w:t>
            </w:r>
          </w:p>
        </w:tc>
        <w:tc>
          <w:tcPr>
            <w:tcW w:w="2410" w:type="dxa"/>
          </w:tcPr>
          <w:p w:rsidR="00223171" w:rsidRPr="00DE154C" w:rsidRDefault="00223171" w:rsidP="0048264B">
            <w:pPr>
              <w:jc w:val="center"/>
              <w:rPr>
                <w:rFonts w:ascii="Sabon" w:hAnsi="Sabon"/>
                <w:b/>
                <w:sz w:val="22"/>
                <w:szCs w:val="22"/>
              </w:rPr>
            </w:pPr>
            <w:r w:rsidRPr="00C23B98">
              <w:rPr>
                <w:rFonts w:ascii="Sabon" w:hAnsi="Sabon"/>
                <w:b/>
                <w:sz w:val="22"/>
                <w:szCs w:val="22"/>
              </w:rPr>
              <w:t>Change 2013-14</w:t>
            </w:r>
          </w:p>
        </w:tc>
      </w:tr>
      <w:tr w:rsidR="00223171" w:rsidTr="00CF07B5">
        <w:tc>
          <w:tcPr>
            <w:tcW w:w="2802" w:type="dxa"/>
          </w:tcPr>
          <w:p w:rsidR="00223171" w:rsidRPr="007604E0" w:rsidRDefault="00AF4DEF" w:rsidP="003E3CF1">
            <w:pPr>
              <w:rPr>
                <w:rFonts w:ascii="Sabon" w:hAnsi="Sabon"/>
                <w:b/>
                <w:sz w:val="22"/>
                <w:szCs w:val="22"/>
              </w:rPr>
            </w:pPr>
            <w:r w:rsidRPr="007604E0">
              <w:rPr>
                <w:rFonts w:ascii="Sabon" w:hAnsi="Sabon"/>
                <w:b/>
                <w:sz w:val="22"/>
                <w:szCs w:val="22"/>
              </w:rPr>
              <w:t>Annual</w:t>
            </w:r>
            <w:r w:rsidR="00223171" w:rsidRPr="007604E0">
              <w:rPr>
                <w:rFonts w:ascii="Sabon" w:hAnsi="Sabon"/>
                <w:b/>
                <w:sz w:val="22"/>
                <w:szCs w:val="22"/>
              </w:rPr>
              <w:t xml:space="preserve"> GDP growth</w:t>
            </w:r>
          </w:p>
        </w:tc>
        <w:tc>
          <w:tcPr>
            <w:tcW w:w="1275" w:type="dxa"/>
          </w:tcPr>
          <w:p w:rsidR="00223171" w:rsidRDefault="00223171" w:rsidP="0048264B">
            <w:pPr>
              <w:jc w:val="center"/>
              <w:rPr>
                <w:rFonts w:ascii="Sabon" w:hAnsi="Sabon"/>
                <w:sz w:val="22"/>
                <w:szCs w:val="22"/>
              </w:rPr>
            </w:pPr>
            <w:r>
              <w:rPr>
                <w:rFonts w:ascii="Sabon" w:hAnsi="Sabon"/>
                <w:sz w:val="22"/>
                <w:szCs w:val="22"/>
              </w:rPr>
              <w:t>1.8 per cent</w:t>
            </w:r>
          </w:p>
        </w:tc>
        <w:tc>
          <w:tcPr>
            <w:tcW w:w="1276" w:type="dxa"/>
          </w:tcPr>
          <w:p w:rsidR="00223171" w:rsidRDefault="00223171" w:rsidP="0048264B">
            <w:pPr>
              <w:jc w:val="center"/>
              <w:rPr>
                <w:rFonts w:ascii="Sabon" w:hAnsi="Sabon"/>
                <w:sz w:val="22"/>
                <w:szCs w:val="22"/>
              </w:rPr>
            </w:pPr>
            <w:r>
              <w:rPr>
                <w:rFonts w:ascii="Sabon" w:hAnsi="Sabon"/>
                <w:sz w:val="22"/>
                <w:szCs w:val="22"/>
              </w:rPr>
              <w:t>3.2 per cent</w:t>
            </w:r>
          </w:p>
        </w:tc>
        <w:tc>
          <w:tcPr>
            <w:tcW w:w="2410" w:type="dxa"/>
          </w:tcPr>
          <w:p w:rsidR="00223171" w:rsidRDefault="00223171" w:rsidP="0048264B">
            <w:pPr>
              <w:jc w:val="center"/>
              <w:rPr>
                <w:rFonts w:ascii="Sabon" w:hAnsi="Sabon"/>
                <w:sz w:val="22"/>
                <w:szCs w:val="22"/>
              </w:rPr>
            </w:pPr>
            <w:r>
              <w:rPr>
                <w:rFonts w:ascii="Sabon" w:hAnsi="Sabon"/>
                <w:sz w:val="22"/>
                <w:szCs w:val="22"/>
              </w:rPr>
              <w:t>+1.5%</w:t>
            </w:r>
          </w:p>
        </w:tc>
      </w:tr>
      <w:tr w:rsidR="00223171" w:rsidTr="00CF07B5">
        <w:tc>
          <w:tcPr>
            <w:tcW w:w="2802" w:type="dxa"/>
          </w:tcPr>
          <w:p w:rsidR="00223171" w:rsidRPr="007604E0" w:rsidRDefault="00223171" w:rsidP="00EB7B3E">
            <w:pPr>
              <w:rPr>
                <w:rFonts w:ascii="Sabon" w:hAnsi="Sabon"/>
                <w:b/>
                <w:sz w:val="22"/>
                <w:szCs w:val="22"/>
              </w:rPr>
            </w:pPr>
            <w:r w:rsidRPr="007604E0">
              <w:rPr>
                <w:rFonts w:ascii="Sabon" w:hAnsi="Sabon"/>
                <w:b/>
                <w:sz w:val="22"/>
                <w:szCs w:val="22"/>
              </w:rPr>
              <w:t>Employment (thous)</w:t>
            </w:r>
          </w:p>
        </w:tc>
        <w:tc>
          <w:tcPr>
            <w:tcW w:w="1275" w:type="dxa"/>
          </w:tcPr>
          <w:p w:rsidR="00223171" w:rsidRDefault="00223171" w:rsidP="0048264B">
            <w:pPr>
              <w:jc w:val="center"/>
              <w:rPr>
                <w:rFonts w:ascii="Sabon" w:hAnsi="Sabon"/>
                <w:sz w:val="22"/>
                <w:szCs w:val="22"/>
              </w:rPr>
            </w:pPr>
            <w:r>
              <w:rPr>
                <w:rFonts w:ascii="Sabon" w:hAnsi="Sabon"/>
                <w:sz w:val="22"/>
                <w:szCs w:val="22"/>
              </w:rPr>
              <w:t>29,777</w:t>
            </w:r>
          </w:p>
        </w:tc>
        <w:tc>
          <w:tcPr>
            <w:tcW w:w="1276" w:type="dxa"/>
          </w:tcPr>
          <w:p w:rsidR="00223171" w:rsidRDefault="00223171" w:rsidP="0048264B">
            <w:pPr>
              <w:jc w:val="center"/>
              <w:rPr>
                <w:rFonts w:ascii="Sabon" w:hAnsi="Sabon"/>
                <w:sz w:val="22"/>
                <w:szCs w:val="22"/>
              </w:rPr>
            </w:pPr>
            <w:r>
              <w:rPr>
                <w:rFonts w:ascii="Sabon" w:hAnsi="Sabon"/>
                <w:sz w:val="22"/>
                <w:szCs w:val="22"/>
              </w:rPr>
              <w:t>30,597</w:t>
            </w:r>
          </w:p>
        </w:tc>
        <w:tc>
          <w:tcPr>
            <w:tcW w:w="2410" w:type="dxa"/>
          </w:tcPr>
          <w:p w:rsidR="00223171" w:rsidRDefault="00223171" w:rsidP="0048264B">
            <w:pPr>
              <w:jc w:val="center"/>
              <w:rPr>
                <w:rFonts w:ascii="Sabon" w:hAnsi="Sabon"/>
                <w:sz w:val="22"/>
                <w:szCs w:val="22"/>
              </w:rPr>
            </w:pPr>
            <w:r>
              <w:rPr>
                <w:rFonts w:ascii="Sabon" w:hAnsi="Sabon"/>
                <w:sz w:val="22"/>
                <w:szCs w:val="22"/>
              </w:rPr>
              <w:t>+820</w:t>
            </w:r>
          </w:p>
        </w:tc>
      </w:tr>
      <w:tr w:rsidR="00223171" w:rsidTr="00CF07B5">
        <w:tc>
          <w:tcPr>
            <w:tcW w:w="2802" w:type="dxa"/>
          </w:tcPr>
          <w:p w:rsidR="00223171" w:rsidRPr="007604E0" w:rsidRDefault="00223171" w:rsidP="003E3CF1">
            <w:pPr>
              <w:rPr>
                <w:rFonts w:ascii="Sabon" w:hAnsi="Sabon"/>
                <w:b/>
                <w:sz w:val="22"/>
                <w:szCs w:val="22"/>
              </w:rPr>
            </w:pPr>
            <w:r w:rsidRPr="007604E0">
              <w:rPr>
                <w:rFonts w:ascii="Sabon" w:hAnsi="Sabon"/>
                <w:b/>
                <w:sz w:val="22"/>
                <w:szCs w:val="22"/>
              </w:rPr>
              <w:t>Employees (thous)</w:t>
            </w:r>
          </w:p>
        </w:tc>
        <w:tc>
          <w:tcPr>
            <w:tcW w:w="1275" w:type="dxa"/>
          </w:tcPr>
          <w:p w:rsidR="00223171" w:rsidRDefault="00223171" w:rsidP="0048264B">
            <w:pPr>
              <w:jc w:val="center"/>
              <w:rPr>
                <w:rFonts w:ascii="Sabon" w:hAnsi="Sabon"/>
                <w:sz w:val="22"/>
                <w:szCs w:val="22"/>
              </w:rPr>
            </w:pPr>
            <w:r>
              <w:rPr>
                <w:rFonts w:ascii="Sabon" w:hAnsi="Sabon"/>
                <w:sz w:val="22"/>
                <w:szCs w:val="22"/>
              </w:rPr>
              <w:t>25,2</w:t>
            </w:r>
            <w:r w:rsidR="00CF07B5">
              <w:rPr>
                <w:rFonts w:ascii="Sabon" w:hAnsi="Sabon"/>
                <w:sz w:val="22"/>
                <w:szCs w:val="22"/>
              </w:rPr>
              <w:t>83</w:t>
            </w:r>
          </w:p>
        </w:tc>
        <w:tc>
          <w:tcPr>
            <w:tcW w:w="1276" w:type="dxa"/>
          </w:tcPr>
          <w:p w:rsidR="00223171" w:rsidRDefault="00223171" w:rsidP="0048264B">
            <w:pPr>
              <w:jc w:val="center"/>
              <w:rPr>
                <w:rFonts w:ascii="Sabon" w:hAnsi="Sabon"/>
                <w:sz w:val="22"/>
                <w:szCs w:val="22"/>
              </w:rPr>
            </w:pPr>
            <w:r>
              <w:rPr>
                <w:rFonts w:ascii="Sabon" w:hAnsi="Sabon"/>
                <w:sz w:val="22"/>
                <w:szCs w:val="22"/>
              </w:rPr>
              <w:t>25,</w:t>
            </w:r>
            <w:r w:rsidR="00CF07B5">
              <w:rPr>
                <w:rFonts w:ascii="Sabon" w:hAnsi="Sabon"/>
                <w:sz w:val="22"/>
                <w:szCs w:val="22"/>
              </w:rPr>
              <w:t>724</w:t>
            </w:r>
          </w:p>
        </w:tc>
        <w:tc>
          <w:tcPr>
            <w:tcW w:w="2410" w:type="dxa"/>
          </w:tcPr>
          <w:p w:rsidR="00223171" w:rsidRDefault="00223171" w:rsidP="0048264B">
            <w:pPr>
              <w:jc w:val="center"/>
              <w:rPr>
                <w:rFonts w:ascii="Sabon" w:hAnsi="Sabon"/>
                <w:sz w:val="22"/>
                <w:szCs w:val="22"/>
              </w:rPr>
            </w:pPr>
            <w:r>
              <w:rPr>
                <w:rFonts w:ascii="Sabon" w:hAnsi="Sabon"/>
                <w:sz w:val="22"/>
                <w:szCs w:val="22"/>
              </w:rPr>
              <w:t>+</w:t>
            </w:r>
            <w:r w:rsidR="00CF07B5">
              <w:rPr>
                <w:rFonts w:ascii="Sabon" w:hAnsi="Sabon"/>
                <w:sz w:val="22"/>
                <w:szCs w:val="22"/>
              </w:rPr>
              <w:t>441</w:t>
            </w:r>
          </w:p>
        </w:tc>
      </w:tr>
      <w:tr w:rsidR="00223171" w:rsidTr="00CF07B5">
        <w:tc>
          <w:tcPr>
            <w:tcW w:w="2802" w:type="dxa"/>
          </w:tcPr>
          <w:p w:rsidR="00223171" w:rsidRPr="007604E0" w:rsidRDefault="00223171" w:rsidP="00B312DC">
            <w:pPr>
              <w:rPr>
                <w:rFonts w:ascii="Sabon" w:hAnsi="Sabon"/>
                <w:b/>
                <w:sz w:val="22"/>
                <w:szCs w:val="22"/>
              </w:rPr>
            </w:pPr>
            <w:r w:rsidRPr="007604E0">
              <w:rPr>
                <w:rFonts w:ascii="Sabon" w:hAnsi="Sabon"/>
                <w:b/>
                <w:sz w:val="22"/>
                <w:szCs w:val="22"/>
              </w:rPr>
              <w:t>Claimant unemployment - SA(thousands)</w:t>
            </w:r>
          </w:p>
        </w:tc>
        <w:tc>
          <w:tcPr>
            <w:tcW w:w="1275" w:type="dxa"/>
          </w:tcPr>
          <w:p w:rsidR="00223171" w:rsidRDefault="00223171" w:rsidP="0048264B">
            <w:pPr>
              <w:jc w:val="center"/>
              <w:rPr>
                <w:rFonts w:ascii="Sabon" w:hAnsi="Sabon"/>
                <w:sz w:val="22"/>
                <w:szCs w:val="22"/>
              </w:rPr>
            </w:pPr>
            <w:r>
              <w:rPr>
                <w:rFonts w:ascii="Sabon" w:hAnsi="Sabon"/>
                <w:sz w:val="22"/>
                <w:szCs w:val="22"/>
              </w:rPr>
              <w:t>1,428</w:t>
            </w:r>
          </w:p>
        </w:tc>
        <w:tc>
          <w:tcPr>
            <w:tcW w:w="1276" w:type="dxa"/>
          </w:tcPr>
          <w:p w:rsidR="00223171" w:rsidRDefault="00223171" w:rsidP="0048264B">
            <w:pPr>
              <w:jc w:val="center"/>
              <w:rPr>
                <w:rFonts w:ascii="Sabon" w:hAnsi="Sabon"/>
                <w:sz w:val="22"/>
                <w:szCs w:val="22"/>
              </w:rPr>
            </w:pPr>
            <w:r>
              <w:rPr>
                <w:rFonts w:ascii="Sabon" w:hAnsi="Sabon"/>
                <w:sz w:val="22"/>
                <w:szCs w:val="22"/>
              </w:rPr>
              <w:t>1,007</w:t>
            </w:r>
          </w:p>
        </w:tc>
        <w:tc>
          <w:tcPr>
            <w:tcW w:w="2410" w:type="dxa"/>
          </w:tcPr>
          <w:p w:rsidR="00223171" w:rsidRDefault="00223171" w:rsidP="0048264B">
            <w:pPr>
              <w:jc w:val="center"/>
              <w:rPr>
                <w:rFonts w:ascii="Sabon" w:hAnsi="Sabon"/>
                <w:sz w:val="22"/>
                <w:szCs w:val="22"/>
              </w:rPr>
            </w:pPr>
            <w:r>
              <w:rPr>
                <w:rFonts w:ascii="Sabon" w:hAnsi="Sabon"/>
                <w:sz w:val="22"/>
                <w:szCs w:val="22"/>
              </w:rPr>
              <w:t>-419</w:t>
            </w:r>
          </w:p>
        </w:tc>
      </w:tr>
      <w:tr w:rsidR="00223171" w:rsidTr="00CF07B5">
        <w:tc>
          <w:tcPr>
            <w:tcW w:w="2802" w:type="dxa"/>
          </w:tcPr>
          <w:p w:rsidR="00223171" w:rsidRPr="007604E0" w:rsidRDefault="00223171" w:rsidP="00B312DC">
            <w:pPr>
              <w:rPr>
                <w:rFonts w:ascii="Sabon" w:hAnsi="Sabon"/>
                <w:b/>
                <w:sz w:val="22"/>
                <w:szCs w:val="22"/>
              </w:rPr>
            </w:pPr>
            <w:r w:rsidRPr="007604E0">
              <w:rPr>
                <w:rFonts w:ascii="Sabon" w:hAnsi="Sabon"/>
                <w:b/>
                <w:sz w:val="22"/>
                <w:szCs w:val="22"/>
              </w:rPr>
              <w:t>Claimant unemployment rate</w:t>
            </w:r>
          </w:p>
        </w:tc>
        <w:tc>
          <w:tcPr>
            <w:tcW w:w="1275" w:type="dxa"/>
          </w:tcPr>
          <w:p w:rsidR="00223171" w:rsidRPr="00830E1E" w:rsidRDefault="00223171" w:rsidP="0048264B">
            <w:pPr>
              <w:jc w:val="center"/>
              <w:rPr>
                <w:rFonts w:ascii="Sabon" w:hAnsi="Sabon"/>
                <w:sz w:val="22"/>
                <w:szCs w:val="22"/>
              </w:rPr>
            </w:pPr>
            <w:r>
              <w:rPr>
                <w:rFonts w:ascii="Sabon" w:hAnsi="Sabon"/>
                <w:sz w:val="22"/>
                <w:szCs w:val="22"/>
              </w:rPr>
              <w:t>4.3%</w:t>
            </w:r>
          </w:p>
        </w:tc>
        <w:tc>
          <w:tcPr>
            <w:tcW w:w="1276" w:type="dxa"/>
          </w:tcPr>
          <w:p w:rsidR="00223171" w:rsidRPr="00830E1E" w:rsidRDefault="00223171" w:rsidP="0048264B">
            <w:pPr>
              <w:jc w:val="center"/>
              <w:rPr>
                <w:rFonts w:ascii="Sabon" w:hAnsi="Sabon"/>
                <w:sz w:val="22"/>
                <w:szCs w:val="22"/>
              </w:rPr>
            </w:pPr>
            <w:r>
              <w:rPr>
                <w:rFonts w:ascii="Sabon" w:hAnsi="Sabon"/>
                <w:sz w:val="22"/>
                <w:szCs w:val="22"/>
              </w:rPr>
              <w:t>3.0%</w:t>
            </w:r>
          </w:p>
        </w:tc>
        <w:tc>
          <w:tcPr>
            <w:tcW w:w="2410" w:type="dxa"/>
          </w:tcPr>
          <w:p w:rsidR="00223171" w:rsidRPr="00830E1E" w:rsidRDefault="00223171" w:rsidP="0048264B">
            <w:pPr>
              <w:jc w:val="center"/>
              <w:rPr>
                <w:rFonts w:ascii="Sabon" w:hAnsi="Sabon"/>
                <w:sz w:val="22"/>
                <w:szCs w:val="22"/>
              </w:rPr>
            </w:pPr>
            <w:r>
              <w:rPr>
                <w:rFonts w:ascii="Sabon" w:hAnsi="Sabon"/>
                <w:sz w:val="22"/>
                <w:szCs w:val="22"/>
              </w:rPr>
              <w:t>-1.3%</w:t>
            </w:r>
          </w:p>
        </w:tc>
      </w:tr>
      <w:tr w:rsidR="00223171" w:rsidTr="00CF07B5">
        <w:tc>
          <w:tcPr>
            <w:tcW w:w="2802" w:type="dxa"/>
          </w:tcPr>
          <w:p w:rsidR="00223171" w:rsidRPr="007604E0" w:rsidRDefault="00223171" w:rsidP="00DC25A6">
            <w:pPr>
              <w:rPr>
                <w:rFonts w:ascii="Sabon" w:hAnsi="Sabon"/>
                <w:b/>
                <w:sz w:val="22"/>
                <w:szCs w:val="22"/>
              </w:rPr>
            </w:pPr>
            <w:r w:rsidRPr="007604E0">
              <w:rPr>
                <w:rFonts w:ascii="Sabon" w:hAnsi="Sabon"/>
                <w:b/>
                <w:sz w:val="22"/>
                <w:szCs w:val="22"/>
              </w:rPr>
              <w:t>ILO unemployment (thousands)</w:t>
            </w:r>
          </w:p>
        </w:tc>
        <w:tc>
          <w:tcPr>
            <w:tcW w:w="1275" w:type="dxa"/>
          </w:tcPr>
          <w:p w:rsidR="00223171" w:rsidRDefault="00223171" w:rsidP="0048264B">
            <w:pPr>
              <w:jc w:val="center"/>
              <w:rPr>
                <w:rFonts w:ascii="Sabon" w:hAnsi="Sabon"/>
                <w:sz w:val="22"/>
                <w:szCs w:val="22"/>
              </w:rPr>
            </w:pPr>
            <w:r>
              <w:rPr>
                <w:rFonts w:ascii="Sabon" w:hAnsi="Sabon"/>
                <w:sz w:val="22"/>
                <w:szCs w:val="22"/>
              </w:rPr>
              <w:t>2,514</w:t>
            </w:r>
          </w:p>
        </w:tc>
        <w:tc>
          <w:tcPr>
            <w:tcW w:w="1276" w:type="dxa"/>
          </w:tcPr>
          <w:p w:rsidR="00223171" w:rsidRDefault="00223171" w:rsidP="0048264B">
            <w:pPr>
              <w:jc w:val="center"/>
              <w:rPr>
                <w:rFonts w:ascii="Sabon" w:hAnsi="Sabon"/>
                <w:sz w:val="22"/>
                <w:szCs w:val="22"/>
              </w:rPr>
            </w:pPr>
            <w:r>
              <w:rPr>
                <w:rFonts w:ascii="Sabon" w:hAnsi="Sabon"/>
                <w:sz w:val="22"/>
                <w:szCs w:val="22"/>
              </w:rPr>
              <w:t>2,077</w:t>
            </w:r>
          </w:p>
        </w:tc>
        <w:tc>
          <w:tcPr>
            <w:tcW w:w="2410" w:type="dxa"/>
          </w:tcPr>
          <w:p w:rsidR="00223171" w:rsidRDefault="00223171" w:rsidP="0048264B">
            <w:pPr>
              <w:jc w:val="center"/>
              <w:rPr>
                <w:rFonts w:ascii="Sabon" w:hAnsi="Sabon"/>
                <w:sz w:val="22"/>
                <w:szCs w:val="22"/>
              </w:rPr>
            </w:pPr>
            <w:r>
              <w:rPr>
                <w:rFonts w:ascii="Sabon" w:hAnsi="Sabon"/>
                <w:sz w:val="22"/>
                <w:szCs w:val="22"/>
              </w:rPr>
              <w:t>-437</w:t>
            </w:r>
          </w:p>
        </w:tc>
      </w:tr>
      <w:tr w:rsidR="00223171" w:rsidTr="00CF07B5">
        <w:tc>
          <w:tcPr>
            <w:tcW w:w="2802" w:type="dxa"/>
          </w:tcPr>
          <w:p w:rsidR="00223171" w:rsidRPr="007604E0" w:rsidRDefault="00223171" w:rsidP="00DC25A6">
            <w:pPr>
              <w:rPr>
                <w:rFonts w:ascii="Sabon" w:hAnsi="Sabon"/>
                <w:b/>
                <w:sz w:val="22"/>
                <w:szCs w:val="22"/>
              </w:rPr>
            </w:pPr>
            <w:r w:rsidRPr="007604E0">
              <w:rPr>
                <w:rFonts w:ascii="Sabon" w:hAnsi="Sabon"/>
                <w:b/>
                <w:sz w:val="22"/>
                <w:szCs w:val="22"/>
              </w:rPr>
              <w:t>ILO unemployment rate</w:t>
            </w:r>
          </w:p>
        </w:tc>
        <w:tc>
          <w:tcPr>
            <w:tcW w:w="1275" w:type="dxa"/>
          </w:tcPr>
          <w:p w:rsidR="00223171" w:rsidRDefault="00223171" w:rsidP="0048264B">
            <w:pPr>
              <w:jc w:val="center"/>
              <w:rPr>
                <w:rFonts w:ascii="Sabon" w:hAnsi="Sabon"/>
                <w:sz w:val="22"/>
                <w:szCs w:val="22"/>
              </w:rPr>
            </w:pPr>
            <w:r>
              <w:rPr>
                <w:rFonts w:ascii="Sabon" w:hAnsi="Sabon"/>
                <w:sz w:val="22"/>
                <w:szCs w:val="22"/>
              </w:rPr>
              <w:t>7.8</w:t>
            </w:r>
          </w:p>
        </w:tc>
        <w:tc>
          <w:tcPr>
            <w:tcW w:w="1276" w:type="dxa"/>
          </w:tcPr>
          <w:p w:rsidR="00223171" w:rsidRDefault="00223171" w:rsidP="0048264B">
            <w:pPr>
              <w:jc w:val="center"/>
              <w:rPr>
                <w:rFonts w:ascii="Sabon" w:hAnsi="Sabon"/>
                <w:sz w:val="22"/>
                <w:szCs w:val="22"/>
              </w:rPr>
            </w:pPr>
            <w:r>
              <w:rPr>
                <w:rFonts w:ascii="Sabon" w:hAnsi="Sabon"/>
                <w:sz w:val="22"/>
                <w:szCs w:val="22"/>
              </w:rPr>
              <w:t>6.4</w:t>
            </w:r>
          </w:p>
        </w:tc>
        <w:tc>
          <w:tcPr>
            <w:tcW w:w="2410" w:type="dxa"/>
          </w:tcPr>
          <w:p w:rsidR="00223171" w:rsidRDefault="00223171" w:rsidP="0048264B">
            <w:pPr>
              <w:jc w:val="center"/>
              <w:rPr>
                <w:rFonts w:ascii="Sabon" w:hAnsi="Sabon"/>
                <w:sz w:val="22"/>
                <w:szCs w:val="22"/>
              </w:rPr>
            </w:pPr>
            <w:r>
              <w:rPr>
                <w:rFonts w:ascii="Sabon" w:hAnsi="Sabon"/>
                <w:sz w:val="22"/>
                <w:szCs w:val="22"/>
              </w:rPr>
              <w:t>-1.4</w:t>
            </w:r>
          </w:p>
        </w:tc>
      </w:tr>
      <w:tr w:rsidR="00223171" w:rsidTr="00CF07B5">
        <w:tc>
          <w:tcPr>
            <w:tcW w:w="2802" w:type="dxa"/>
          </w:tcPr>
          <w:p w:rsidR="00223171" w:rsidRPr="007604E0" w:rsidRDefault="00223171" w:rsidP="00DA2C5A">
            <w:pPr>
              <w:rPr>
                <w:rFonts w:ascii="Sabon" w:hAnsi="Sabon"/>
                <w:b/>
                <w:sz w:val="22"/>
                <w:szCs w:val="22"/>
              </w:rPr>
            </w:pPr>
            <w:r w:rsidRPr="007604E0">
              <w:rPr>
                <w:rFonts w:ascii="Sabon" w:hAnsi="Sabon"/>
                <w:b/>
                <w:sz w:val="22"/>
                <w:szCs w:val="22"/>
              </w:rPr>
              <w:t>Average Weekly Earnings (total pay) (annual growth three month average)</w:t>
            </w:r>
          </w:p>
        </w:tc>
        <w:tc>
          <w:tcPr>
            <w:tcW w:w="1275" w:type="dxa"/>
          </w:tcPr>
          <w:p w:rsidR="00223171" w:rsidRDefault="00223171" w:rsidP="0048264B">
            <w:pPr>
              <w:jc w:val="center"/>
              <w:rPr>
                <w:rFonts w:ascii="Sabon" w:hAnsi="Sabon"/>
                <w:sz w:val="22"/>
                <w:szCs w:val="22"/>
              </w:rPr>
            </w:pPr>
            <w:r>
              <w:rPr>
                <w:rFonts w:ascii="Sabon" w:hAnsi="Sabon"/>
                <w:sz w:val="22"/>
                <w:szCs w:val="22"/>
              </w:rPr>
              <w:t>0.8%</w:t>
            </w:r>
          </w:p>
        </w:tc>
        <w:tc>
          <w:tcPr>
            <w:tcW w:w="1276" w:type="dxa"/>
          </w:tcPr>
          <w:p w:rsidR="00223171" w:rsidRDefault="00223171" w:rsidP="0048264B">
            <w:pPr>
              <w:jc w:val="center"/>
              <w:rPr>
                <w:rFonts w:ascii="Sabon" w:hAnsi="Sabon"/>
                <w:sz w:val="22"/>
                <w:szCs w:val="22"/>
              </w:rPr>
            </w:pPr>
            <w:r>
              <w:rPr>
                <w:rFonts w:ascii="Sabon" w:hAnsi="Sabon"/>
                <w:sz w:val="22"/>
                <w:szCs w:val="22"/>
              </w:rPr>
              <w:t>-0.2%%</w:t>
            </w:r>
          </w:p>
        </w:tc>
        <w:tc>
          <w:tcPr>
            <w:tcW w:w="2410" w:type="dxa"/>
          </w:tcPr>
          <w:p w:rsidR="00223171" w:rsidRDefault="00223171" w:rsidP="0048264B">
            <w:pPr>
              <w:jc w:val="center"/>
              <w:rPr>
                <w:rFonts w:ascii="Sabon" w:hAnsi="Sabon"/>
                <w:sz w:val="22"/>
                <w:szCs w:val="22"/>
              </w:rPr>
            </w:pPr>
            <w:r>
              <w:rPr>
                <w:rFonts w:ascii="Sabon" w:hAnsi="Sabon"/>
                <w:sz w:val="22"/>
                <w:szCs w:val="22"/>
              </w:rPr>
              <w:t>-1.0%</w:t>
            </w:r>
          </w:p>
        </w:tc>
      </w:tr>
      <w:tr w:rsidR="00223171" w:rsidTr="00CF07B5">
        <w:tc>
          <w:tcPr>
            <w:tcW w:w="2802" w:type="dxa"/>
          </w:tcPr>
          <w:p w:rsidR="00223171" w:rsidRPr="007604E0" w:rsidRDefault="00223171" w:rsidP="003E3CF1">
            <w:pPr>
              <w:rPr>
                <w:rFonts w:ascii="Sabon" w:hAnsi="Sabon"/>
                <w:b/>
                <w:sz w:val="22"/>
                <w:szCs w:val="22"/>
              </w:rPr>
            </w:pPr>
            <w:r w:rsidRPr="007604E0">
              <w:rPr>
                <w:rFonts w:ascii="Sabon" w:hAnsi="Sabon"/>
                <w:b/>
                <w:sz w:val="22"/>
                <w:szCs w:val="22"/>
              </w:rPr>
              <w:t>Average Weekly Earnings (basic pay)</w:t>
            </w:r>
          </w:p>
          <w:p w:rsidR="00223171" w:rsidRPr="007604E0" w:rsidRDefault="00223171" w:rsidP="003E3CF1">
            <w:pPr>
              <w:rPr>
                <w:rFonts w:ascii="Sabon" w:hAnsi="Sabon"/>
                <w:b/>
                <w:sz w:val="22"/>
                <w:szCs w:val="22"/>
              </w:rPr>
            </w:pPr>
            <w:r w:rsidRPr="007604E0">
              <w:rPr>
                <w:rFonts w:ascii="Sabon" w:hAnsi="Sabon"/>
                <w:b/>
                <w:sz w:val="22"/>
                <w:szCs w:val="22"/>
              </w:rPr>
              <w:t>(annual growth three month average)</w:t>
            </w:r>
          </w:p>
        </w:tc>
        <w:tc>
          <w:tcPr>
            <w:tcW w:w="1275" w:type="dxa"/>
          </w:tcPr>
          <w:p w:rsidR="00223171" w:rsidRDefault="00223171" w:rsidP="0048264B">
            <w:pPr>
              <w:jc w:val="center"/>
              <w:rPr>
                <w:rFonts w:ascii="Sabon" w:hAnsi="Sabon"/>
                <w:sz w:val="22"/>
                <w:szCs w:val="22"/>
              </w:rPr>
            </w:pPr>
            <w:r>
              <w:rPr>
                <w:rFonts w:ascii="Sabon" w:hAnsi="Sabon"/>
                <w:sz w:val="22"/>
                <w:szCs w:val="22"/>
              </w:rPr>
              <w:t>0.4%</w:t>
            </w:r>
          </w:p>
        </w:tc>
        <w:tc>
          <w:tcPr>
            <w:tcW w:w="1276" w:type="dxa"/>
          </w:tcPr>
          <w:p w:rsidR="00223171" w:rsidRDefault="00223171" w:rsidP="0048264B">
            <w:pPr>
              <w:jc w:val="center"/>
              <w:rPr>
                <w:rFonts w:ascii="Sabon" w:hAnsi="Sabon"/>
                <w:sz w:val="22"/>
                <w:szCs w:val="22"/>
              </w:rPr>
            </w:pPr>
            <w:r>
              <w:rPr>
                <w:rFonts w:ascii="Sabon" w:hAnsi="Sabon"/>
                <w:sz w:val="22"/>
                <w:szCs w:val="22"/>
              </w:rPr>
              <w:t>0.6%</w:t>
            </w:r>
          </w:p>
        </w:tc>
        <w:tc>
          <w:tcPr>
            <w:tcW w:w="2410" w:type="dxa"/>
          </w:tcPr>
          <w:p w:rsidR="00223171" w:rsidRDefault="00223171" w:rsidP="0048264B">
            <w:pPr>
              <w:jc w:val="center"/>
              <w:rPr>
                <w:rFonts w:ascii="Sabon" w:hAnsi="Sabon"/>
                <w:sz w:val="22"/>
                <w:szCs w:val="22"/>
              </w:rPr>
            </w:pPr>
            <w:r>
              <w:rPr>
                <w:rFonts w:ascii="Sabon" w:hAnsi="Sabon"/>
                <w:sz w:val="22"/>
                <w:szCs w:val="22"/>
              </w:rPr>
              <w:t>+0.2%</w:t>
            </w:r>
          </w:p>
        </w:tc>
      </w:tr>
      <w:tr w:rsidR="00223171" w:rsidTr="00CF07B5">
        <w:tc>
          <w:tcPr>
            <w:tcW w:w="2802" w:type="dxa"/>
          </w:tcPr>
          <w:p w:rsidR="00223171" w:rsidRPr="007604E0" w:rsidRDefault="00223171" w:rsidP="003E3CF1">
            <w:pPr>
              <w:rPr>
                <w:rFonts w:ascii="Sabon" w:hAnsi="Sabon"/>
                <w:b/>
                <w:sz w:val="22"/>
                <w:szCs w:val="22"/>
              </w:rPr>
            </w:pPr>
            <w:r w:rsidRPr="007604E0">
              <w:rPr>
                <w:rFonts w:ascii="Sabon" w:hAnsi="Sabon"/>
                <w:b/>
                <w:sz w:val="22"/>
                <w:szCs w:val="22"/>
              </w:rPr>
              <w:t>CPI inflation (annual change)</w:t>
            </w:r>
          </w:p>
        </w:tc>
        <w:tc>
          <w:tcPr>
            <w:tcW w:w="1275" w:type="dxa"/>
          </w:tcPr>
          <w:p w:rsidR="00223171" w:rsidRDefault="00223171" w:rsidP="0048264B">
            <w:pPr>
              <w:jc w:val="center"/>
              <w:rPr>
                <w:rFonts w:ascii="Sabon" w:hAnsi="Sabon"/>
                <w:sz w:val="22"/>
                <w:szCs w:val="22"/>
              </w:rPr>
            </w:pPr>
            <w:r>
              <w:rPr>
                <w:rFonts w:ascii="Sabon" w:hAnsi="Sabon"/>
                <w:sz w:val="22"/>
                <w:szCs w:val="22"/>
              </w:rPr>
              <w:t>2.9</w:t>
            </w:r>
          </w:p>
        </w:tc>
        <w:tc>
          <w:tcPr>
            <w:tcW w:w="1276" w:type="dxa"/>
          </w:tcPr>
          <w:p w:rsidR="00223171" w:rsidRDefault="00223171" w:rsidP="0048264B">
            <w:pPr>
              <w:jc w:val="center"/>
              <w:rPr>
                <w:rFonts w:ascii="Sabon" w:hAnsi="Sabon"/>
                <w:sz w:val="22"/>
                <w:szCs w:val="22"/>
              </w:rPr>
            </w:pPr>
            <w:r>
              <w:rPr>
                <w:rFonts w:ascii="Sabon" w:hAnsi="Sabon"/>
                <w:sz w:val="22"/>
                <w:szCs w:val="22"/>
              </w:rPr>
              <w:t>1.6</w:t>
            </w:r>
          </w:p>
        </w:tc>
        <w:tc>
          <w:tcPr>
            <w:tcW w:w="2410" w:type="dxa"/>
          </w:tcPr>
          <w:p w:rsidR="00223171" w:rsidRDefault="00223171" w:rsidP="0048264B">
            <w:pPr>
              <w:jc w:val="center"/>
              <w:rPr>
                <w:rFonts w:ascii="Sabon" w:hAnsi="Sabon"/>
                <w:sz w:val="22"/>
                <w:szCs w:val="22"/>
              </w:rPr>
            </w:pPr>
            <w:r>
              <w:rPr>
                <w:rFonts w:ascii="Sabon" w:hAnsi="Sabon"/>
                <w:sz w:val="22"/>
                <w:szCs w:val="22"/>
              </w:rPr>
              <w:t>-1.3</w:t>
            </w:r>
          </w:p>
        </w:tc>
      </w:tr>
      <w:tr w:rsidR="00223171" w:rsidTr="00CF07B5">
        <w:tc>
          <w:tcPr>
            <w:tcW w:w="2802" w:type="dxa"/>
          </w:tcPr>
          <w:p w:rsidR="00223171" w:rsidRPr="007604E0" w:rsidRDefault="00223171">
            <w:pPr>
              <w:pStyle w:val="TableofFigures"/>
              <w:ind w:left="0" w:firstLine="0"/>
              <w:rPr>
                <w:rFonts w:ascii="Sabon" w:hAnsi="Sabon"/>
                <w:b/>
                <w:sz w:val="22"/>
                <w:szCs w:val="22"/>
              </w:rPr>
            </w:pPr>
            <w:r w:rsidRPr="007604E0">
              <w:rPr>
                <w:rFonts w:ascii="Sabon" w:hAnsi="Sabon"/>
                <w:b/>
                <w:sz w:val="22"/>
                <w:szCs w:val="22"/>
              </w:rPr>
              <w:t>RPI inflation (annual change)</w:t>
            </w:r>
          </w:p>
        </w:tc>
        <w:tc>
          <w:tcPr>
            <w:tcW w:w="1275" w:type="dxa"/>
          </w:tcPr>
          <w:p w:rsidR="00223171" w:rsidRDefault="00223171" w:rsidP="0048264B">
            <w:pPr>
              <w:pStyle w:val="TableofFigures"/>
              <w:jc w:val="center"/>
              <w:rPr>
                <w:rFonts w:ascii="Sabon" w:hAnsi="Sabon"/>
                <w:sz w:val="22"/>
                <w:szCs w:val="22"/>
              </w:rPr>
            </w:pPr>
            <w:r>
              <w:rPr>
                <w:rFonts w:ascii="Sabon" w:hAnsi="Sabon"/>
                <w:sz w:val="22"/>
                <w:szCs w:val="22"/>
              </w:rPr>
              <w:t>3.3</w:t>
            </w:r>
          </w:p>
        </w:tc>
        <w:tc>
          <w:tcPr>
            <w:tcW w:w="1276" w:type="dxa"/>
          </w:tcPr>
          <w:p w:rsidR="00223171" w:rsidRDefault="00223171" w:rsidP="0048264B">
            <w:pPr>
              <w:pStyle w:val="TableofFigures"/>
              <w:jc w:val="center"/>
              <w:rPr>
                <w:rFonts w:ascii="Sabon" w:hAnsi="Sabon"/>
                <w:sz w:val="22"/>
                <w:szCs w:val="22"/>
              </w:rPr>
            </w:pPr>
            <w:r>
              <w:rPr>
                <w:rFonts w:ascii="Sabon" w:hAnsi="Sabon"/>
                <w:sz w:val="22"/>
                <w:szCs w:val="22"/>
              </w:rPr>
              <w:t>2.5</w:t>
            </w:r>
          </w:p>
        </w:tc>
        <w:tc>
          <w:tcPr>
            <w:tcW w:w="2410" w:type="dxa"/>
          </w:tcPr>
          <w:p w:rsidR="00223171" w:rsidRDefault="00223171" w:rsidP="0048264B">
            <w:pPr>
              <w:pStyle w:val="TableofFigures"/>
              <w:jc w:val="center"/>
              <w:rPr>
                <w:rFonts w:ascii="Sabon" w:hAnsi="Sabon"/>
                <w:sz w:val="22"/>
                <w:szCs w:val="22"/>
              </w:rPr>
            </w:pPr>
            <w:r>
              <w:rPr>
                <w:rFonts w:ascii="Sabon" w:hAnsi="Sabon"/>
                <w:sz w:val="22"/>
                <w:szCs w:val="22"/>
              </w:rPr>
              <w:t>-0.8</w:t>
            </w:r>
          </w:p>
        </w:tc>
      </w:tr>
    </w:tbl>
    <w:p w:rsidR="000550AF" w:rsidRDefault="003E3CF1" w:rsidP="00EB7B3E">
      <w:pPr>
        <w:rPr>
          <w:rFonts w:ascii="Sabon" w:hAnsi="Sabon"/>
          <w:sz w:val="18"/>
          <w:szCs w:val="18"/>
        </w:rPr>
      </w:pPr>
      <w:r w:rsidRPr="00416000">
        <w:rPr>
          <w:rFonts w:ascii="Sabon" w:hAnsi="Sabon"/>
          <w:sz w:val="18"/>
          <w:szCs w:val="18"/>
        </w:rPr>
        <w:t xml:space="preserve">Source: </w:t>
      </w:r>
      <w:r w:rsidR="00EB7B3E">
        <w:rPr>
          <w:rFonts w:ascii="Sabon" w:hAnsi="Sabon"/>
          <w:sz w:val="18"/>
          <w:szCs w:val="18"/>
        </w:rPr>
        <w:t xml:space="preserve"> ONS</w:t>
      </w:r>
    </w:p>
    <w:p w:rsidR="007365EC" w:rsidRDefault="00AF4DEF" w:rsidP="00EB7B3E">
      <w:r>
        <w:rPr>
          <w:rFonts w:ascii="Sabon" w:hAnsi="Sabon"/>
          <w:sz w:val="18"/>
          <w:szCs w:val="18"/>
        </w:rPr>
        <w:t>Latest</w:t>
      </w:r>
      <w:r w:rsidR="007365EC">
        <w:rPr>
          <w:rFonts w:ascii="Sabon" w:hAnsi="Sabon"/>
          <w:sz w:val="18"/>
          <w:szCs w:val="18"/>
        </w:rPr>
        <w:t xml:space="preserve"> figures: GDP Q2</w:t>
      </w:r>
      <w:r w:rsidR="001E2E3F">
        <w:rPr>
          <w:rFonts w:ascii="Sabon" w:hAnsi="Sabon"/>
          <w:sz w:val="18"/>
          <w:szCs w:val="18"/>
        </w:rPr>
        <w:t xml:space="preserve"> 2014</w:t>
      </w:r>
      <w:r w:rsidR="007365EC">
        <w:rPr>
          <w:rFonts w:ascii="Sabon" w:hAnsi="Sabon"/>
          <w:sz w:val="18"/>
          <w:szCs w:val="18"/>
        </w:rPr>
        <w:t>; employment</w:t>
      </w:r>
      <w:r w:rsidR="001E2E3F">
        <w:rPr>
          <w:rFonts w:ascii="Sabon" w:hAnsi="Sabon"/>
          <w:sz w:val="18"/>
          <w:szCs w:val="18"/>
        </w:rPr>
        <w:t xml:space="preserve">, ILO unemployment </w:t>
      </w:r>
      <w:r w:rsidR="007365EC">
        <w:rPr>
          <w:rFonts w:ascii="Sabon" w:hAnsi="Sabon"/>
          <w:sz w:val="18"/>
          <w:szCs w:val="18"/>
        </w:rPr>
        <w:t xml:space="preserve">and </w:t>
      </w:r>
      <w:r>
        <w:rPr>
          <w:rFonts w:ascii="Sabon" w:hAnsi="Sabon"/>
          <w:sz w:val="18"/>
          <w:szCs w:val="18"/>
        </w:rPr>
        <w:t>earnings</w:t>
      </w:r>
      <w:r w:rsidR="007365EC">
        <w:rPr>
          <w:rFonts w:ascii="Sabon" w:hAnsi="Sabon"/>
          <w:sz w:val="18"/>
          <w:szCs w:val="18"/>
        </w:rPr>
        <w:t xml:space="preserve"> April-June</w:t>
      </w:r>
      <w:r w:rsidR="001E2E3F">
        <w:rPr>
          <w:rFonts w:ascii="Sabon" w:hAnsi="Sabon"/>
          <w:sz w:val="18"/>
          <w:szCs w:val="18"/>
        </w:rPr>
        <w:t xml:space="preserve"> 2014</w:t>
      </w:r>
      <w:r w:rsidR="007365EC">
        <w:rPr>
          <w:rFonts w:ascii="Sabon" w:hAnsi="Sabon"/>
          <w:sz w:val="18"/>
          <w:szCs w:val="18"/>
        </w:rPr>
        <w:t xml:space="preserve">; </w:t>
      </w:r>
      <w:r w:rsidR="001E2E3F">
        <w:rPr>
          <w:rFonts w:ascii="Sabon" w:hAnsi="Sabon"/>
          <w:sz w:val="18"/>
          <w:szCs w:val="18"/>
        </w:rPr>
        <w:t>claimant count and inflation July 2014.</w:t>
      </w:r>
    </w:p>
    <w:p w:rsidR="003874DE" w:rsidRDefault="003874DE" w:rsidP="003874DE">
      <w:pPr>
        <w:pStyle w:val="T5TextBody"/>
        <w:spacing w:line="276" w:lineRule="auto"/>
        <w:rPr>
          <w:szCs w:val="22"/>
        </w:rPr>
      </w:pPr>
    </w:p>
    <w:p w:rsidR="00A82B02" w:rsidRPr="003874DE" w:rsidRDefault="00A82B02" w:rsidP="00A82B02">
      <w:pPr>
        <w:pStyle w:val="T5TextBody"/>
        <w:spacing w:line="276" w:lineRule="auto"/>
        <w:rPr>
          <w:szCs w:val="22"/>
        </w:rPr>
      </w:pPr>
      <w:r>
        <w:rPr>
          <w:szCs w:val="22"/>
        </w:rPr>
        <w:lastRenderedPageBreak/>
        <w:t>T</w:t>
      </w:r>
      <w:r w:rsidRPr="003874DE">
        <w:rPr>
          <w:szCs w:val="22"/>
        </w:rPr>
        <w:t>he number of unfilled vacancies has increased by 22.2 per cent last year, up to 656,000</w:t>
      </w:r>
      <w:r w:rsidRPr="003874DE">
        <w:rPr>
          <w:rStyle w:val="FootnoteReference"/>
          <w:sz w:val="22"/>
          <w:szCs w:val="22"/>
        </w:rPr>
        <w:footnoteReference w:id="5"/>
      </w:r>
      <w:r w:rsidRPr="003874DE">
        <w:rPr>
          <w:szCs w:val="22"/>
        </w:rPr>
        <w:t>.</w:t>
      </w:r>
    </w:p>
    <w:p w:rsidR="003874DE" w:rsidRPr="003874DE" w:rsidRDefault="003874DE" w:rsidP="003874DE">
      <w:pPr>
        <w:pStyle w:val="T5TextBody"/>
        <w:spacing w:line="276" w:lineRule="auto"/>
        <w:rPr>
          <w:szCs w:val="22"/>
        </w:rPr>
      </w:pPr>
      <w:r w:rsidRPr="003874DE">
        <w:rPr>
          <w:szCs w:val="22"/>
        </w:rPr>
        <w:t>The rate of increase was slightly slower for the wholesale and retail sector, which as we discuss below has struggled to tread water during the past year, but unfilled vacancies still increased by 18.5 per cent in that sector.</w:t>
      </w:r>
    </w:p>
    <w:p w:rsidR="003874DE" w:rsidRPr="003874DE" w:rsidRDefault="003874DE" w:rsidP="003874DE">
      <w:pPr>
        <w:pStyle w:val="T5TextBody"/>
        <w:spacing w:line="276" w:lineRule="auto"/>
        <w:rPr>
          <w:szCs w:val="22"/>
        </w:rPr>
      </w:pPr>
      <w:r w:rsidRPr="003874DE">
        <w:rPr>
          <w:szCs w:val="22"/>
        </w:rPr>
        <w:t>However in the food and hospitality sector where low pay is widespread, the total number of unfilled vacancies increased by 29.1 per cent, suggesting that some of the pay rates on offer may no longer be competitive.</w:t>
      </w:r>
    </w:p>
    <w:p w:rsidR="000550AF" w:rsidRDefault="000550AF" w:rsidP="000550AF">
      <w:pPr>
        <w:pStyle w:val="T5TextBody"/>
      </w:pPr>
    </w:p>
    <w:p w:rsidR="000550AF" w:rsidRPr="00B6384B" w:rsidRDefault="00162A4F" w:rsidP="000550AF">
      <w:pPr>
        <w:pStyle w:val="T5TextBody"/>
        <w:rPr>
          <w:b/>
        </w:rPr>
      </w:pPr>
      <w:r>
        <w:rPr>
          <w:b/>
        </w:rPr>
        <w:t>Earnings</w:t>
      </w:r>
      <w:r w:rsidR="006B1169">
        <w:rPr>
          <w:b/>
        </w:rPr>
        <w:t xml:space="preserve"> and pay settlements</w:t>
      </w:r>
    </w:p>
    <w:p w:rsidR="0048264B" w:rsidRDefault="006B1169" w:rsidP="003874DE">
      <w:pPr>
        <w:pStyle w:val="T5TextBody"/>
        <w:spacing w:line="276" w:lineRule="auto"/>
        <w:rPr>
          <w:szCs w:val="22"/>
        </w:rPr>
      </w:pPr>
      <w:r w:rsidRPr="003874DE">
        <w:rPr>
          <w:szCs w:val="22"/>
        </w:rPr>
        <w:t xml:space="preserve">While growth in </w:t>
      </w:r>
      <w:r w:rsidR="00A82A2B" w:rsidRPr="003874DE">
        <w:rPr>
          <w:szCs w:val="22"/>
        </w:rPr>
        <w:t>Average</w:t>
      </w:r>
      <w:r w:rsidR="00162A4F" w:rsidRPr="003874DE">
        <w:rPr>
          <w:szCs w:val="22"/>
        </w:rPr>
        <w:t xml:space="preserve"> Weekly Earnings (</w:t>
      </w:r>
      <w:r w:rsidRPr="003874DE">
        <w:rPr>
          <w:szCs w:val="22"/>
        </w:rPr>
        <w:t>AWE</w:t>
      </w:r>
      <w:r w:rsidR="00162A4F" w:rsidRPr="003874DE">
        <w:rPr>
          <w:szCs w:val="22"/>
        </w:rPr>
        <w:t>)</w:t>
      </w:r>
      <w:r w:rsidRPr="003874DE">
        <w:rPr>
          <w:szCs w:val="22"/>
        </w:rPr>
        <w:t xml:space="preserve"> remains poor, the TUC believe that this measure is increasingly understating actual growth in pay rates. </w:t>
      </w:r>
    </w:p>
    <w:p w:rsidR="00B6384B" w:rsidRPr="003874DE" w:rsidRDefault="00B6384B" w:rsidP="003874DE">
      <w:pPr>
        <w:pStyle w:val="T5TextBody"/>
        <w:spacing w:line="276" w:lineRule="auto"/>
        <w:rPr>
          <w:szCs w:val="22"/>
        </w:rPr>
      </w:pPr>
      <w:r w:rsidRPr="003874DE">
        <w:rPr>
          <w:szCs w:val="22"/>
        </w:rPr>
        <w:t xml:space="preserve">There </w:t>
      </w:r>
      <w:r w:rsidR="003C1399" w:rsidRPr="003874DE">
        <w:rPr>
          <w:szCs w:val="22"/>
        </w:rPr>
        <w:t>are</w:t>
      </w:r>
      <w:r w:rsidRPr="003874DE">
        <w:rPr>
          <w:szCs w:val="22"/>
        </w:rPr>
        <w:t xml:space="preserve"> three main sources of </w:t>
      </w:r>
      <w:r w:rsidR="003C1399" w:rsidRPr="003874DE">
        <w:rPr>
          <w:szCs w:val="22"/>
        </w:rPr>
        <w:t>data</w:t>
      </w:r>
      <w:r w:rsidRPr="003874DE">
        <w:rPr>
          <w:szCs w:val="22"/>
        </w:rPr>
        <w:t xml:space="preserve"> on pay growth: ON</w:t>
      </w:r>
      <w:r w:rsidR="006B1169" w:rsidRPr="003874DE">
        <w:rPr>
          <w:szCs w:val="22"/>
        </w:rPr>
        <w:t>S</w:t>
      </w:r>
      <w:r w:rsidRPr="003874DE">
        <w:rPr>
          <w:szCs w:val="22"/>
        </w:rPr>
        <w:t xml:space="preserve"> </w:t>
      </w:r>
      <w:r w:rsidR="00162A4F" w:rsidRPr="003874DE">
        <w:rPr>
          <w:szCs w:val="22"/>
        </w:rPr>
        <w:t>Annual Survey of Hours and Earnings (ASHE)</w:t>
      </w:r>
      <w:r w:rsidRPr="003874DE">
        <w:rPr>
          <w:szCs w:val="22"/>
        </w:rPr>
        <w:t>, ONS A</w:t>
      </w:r>
      <w:r w:rsidR="001B50E0">
        <w:rPr>
          <w:szCs w:val="22"/>
        </w:rPr>
        <w:t xml:space="preserve">verage </w:t>
      </w:r>
      <w:r w:rsidRPr="003874DE">
        <w:rPr>
          <w:szCs w:val="22"/>
        </w:rPr>
        <w:t>W</w:t>
      </w:r>
      <w:r w:rsidR="001B50E0">
        <w:rPr>
          <w:szCs w:val="22"/>
        </w:rPr>
        <w:t xml:space="preserve">eekly </w:t>
      </w:r>
      <w:r w:rsidRPr="003874DE">
        <w:rPr>
          <w:szCs w:val="22"/>
        </w:rPr>
        <w:t>E</w:t>
      </w:r>
      <w:r w:rsidR="001B50E0">
        <w:rPr>
          <w:szCs w:val="22"/>
        </w:rPr>
        <w:t xml:space="preserve">arnings (AWE) </w:t>
      </w:r>
      <w:r w:rsidR="001B50E0" w:rsidRPr="003874DE">
        <w:rPr>
          <w:szCs w:val="22"/>
        </w:rPr>
        <w:t>and</w:t>
      </w:r>
      <w:r w:rsidRPr="003874DE">
        <w:rPr>
          <w:szCs w:val="22"/>
        </w:rPr>
        <w:t xml:space="preserve"> a small number of </w:t>
      </w:r>
      <w:r w:rsidR="00A82A2B" w:rsidRPr="003874DE">
        <w:rPr>
          <w:szCs w:val="22"/>
        </w:rPr>
        <w:t>commercial</w:t>
      </w:r>
      <w:r w:rsidR="00162A4F" w:rsidRPr="003874DE">
        <w:rPr>
          <w:szCs w:val="22"/>
        </w:rPr>
        <w:t xml:space="preserve"> </w:t>
      </w:r>
      <w:r w:rsidRPr="003874DE">
        <w:rPr>
          <w:szCs w:val="22"/>
        </w:rPr>
        <w:t>indices of reported pay-rises (ID</w:t>
      </w:r>
      <w:r w:rsidR="001B50E0">
        <w:rPr>
          <w:szCs w:val="22"/>
        </w:rPr>
        <w:t>S</w:t>
      </w:r>
      <w:r w:rsidRPr="003874DE">
        <w:rPr>
          <w:szCs w:val="22"/>
        </w:rPr>
        <w:t>, L</w:t>
      </w:r>
      <w:r w:rsidR="001B50E0">
        <w:rPr>
          <w:szCs w:val="22"/>
        </w:rPr>
        <w:t>R</w:t>
      </w:r>
      <w:r w:rsidRPr="003874DE">
        <w:rPr>
          <w:szCs w:val="22"/>
        </w:rPr>
        <w:t xml:space="preserve">D, EEF </w:t>
      </w:r>
      <w:r w:rsidR="003C1399" w:rsidRPr="003874DE">
        <w:rPr>
          <w:szCs w:val="22"/>
        </w:rPr>
        <w:t>and</w:t>
      </w:r>
      <w:r w:rsidRPr="003874DE">
        <w:rPr>
          <w:szCs w:val="22"/>
        </w:rPr>
        <w:t xml:space="preserve"> </w:t>
      </w:r>
      <w:r w:rsidR="003C1399" w:rsidRPr="003874DE">
        <w:rPr>
          <w:szCs w:val="22"/>
        </w:rPr>
        <w:t>Experian</w:t>
      </w:r>
      <w:r w:rsidR="001B50E0">
        <w:rPr>
          <w:szCs w:val="22"/>
        </w:rPr>
        <w:t>HR</w:t>
      </w:r>
      <w:r w:rsidRPr="003874DE">
        <w:rPr>
          <w:szCs w:val="22"/>
        </w:rPr>
        <w:t>)</w:t>
      </w:r>
    </w:p>
    <w:p w:rsidR="00273364" w:rsidRPr="003874DE" w:rsidRDefault="00B6384B" w:rsidP="003874DE">
      <w:pPr>
        <w:pStyle w:val="T5TextBody"/>
        <w:spacing w:line="276" w:lineRule="auto"/>
        <w:rPr>
          <w:szCs w:val="22"/>
        </w:rPr>
      </w:pPr>
      <w:r w:rsidRPr="003874DE">
        <w:rPr>
          <w:szCs w:val="22"/>
        </w:rPr>
        <w:t xml:space="preserve">All of </w:t>
      </w:r>
      <w:r w:rsidR="003C1399" w:rsidRPr="003874DE">
        <w:rPr>
          <w:szCs w:val="22"/>
        </w:rPr>
        <w:t>these sources</w:t>
      </w:r>
      <w:r w:rsidRPr="003874DE">
        <w:rPr>
          <w:szCs w:val="22"/>
        </w:rPr>
        <w:t xml:space="preserve"> have strengths and </w:t>
      </w:r>
      <w:r w:rsidR="003C1399" w:rsidRPr="003874DE">
        <w:rPr>
          <w:szCs w:val="22"/>
        </w:rPr>
        <w:t>weakness</w:t>
      </w:r>
      <w:r w:rsidRPr="003874DE">
        <w:rPr>
          <w:szCs w:val="22"/>
        </w:rPr>
        <w:t xml:space="preserve">. </w:t>
      </w:r>
      <w:r w:rsidR="003C1399" w:rsidRPr="003874DE">
        <w:rPr>
          <w:szCs w:val="22"/>
        </w:rPr>
        <w:t xml:space="preserve">ASHE is a mandatory annual survey of a </w:t>
      </w:r>
      <w:r w:rsidR="006B1169" w:rsidRPr="003874DE">
        <w:rPr>
          <w:szCs w:val="22"/>
        </w:rPr>
        <w:t>one</w:t>
      </w:r>
      <w:r w:rsidR="003C1399" w:rsidRPr="003874DE">
        <w:rPr>
          <w:szCs w:val="22"/>
        </w:rPr>
        <w:t xml:space="preserve"> per cent sample of PAYE employers. This</w:t>
      </w:r>
      <w:r w:rsidR="00273364" w:rsidRPr="003874DE">
        <w:rPr>
          <w:szCs w:val="22"/>
        </w:rPr>
        <w:t xml:space="preserve"> </w:t>
      </w:r>
      <w:r w:rsidR="003C1399" w:rsidRPr="003874DE">
        <w:rPr>
          <w:szCs w:val="22"/>
        </w:rPr>
        <w:t>is</w:t>
      </w:r>
      <w:r w:rsidR="00273364" w:rsidRPr="003874DE">
        <w:rPr>
          <w:szCs w:val="22"/>
        </w:rPr>
        <w:t xml:space="preserve"> a </w:t>
      </w:r>
      <w:r w:rsidR="003C1399" w:rsidRPr="003874DE">
        <w:rPr>
          <w:szCs w:val="22"/>
        </w:rPr>
        <w:t>relatively</w:t>
      </w:r>
      <w:r w:rsidR="00273364" w:rsidRPr="003874DE">
        <w:rPr>
          <w:szCs w:val="22"/>
        </w:rPr>
        <w:t xml:space="preserve"> </w:t>
      </w:r>
      <w:r w:rsidR="003C1399" w:rsidRPr="003874DE">
        <w:rPr>
          <w:szCs w:val="22"/>
        </w:rPr>
        <w:t>robust</w:t>
      </w:r>
      <w:r w:rsidR="00273364" w:rsidRPr="003874DE">
        <w:rPr>
          <w:szCs w:val="22"/>
        </w:rPr>
        <w:t xml:space="preserve"> methodology, although it does not </w:t>
      </w:r>
      <w:r w:rsidR="003C1399" w:rsidRPr="003874DE">
        <w:rPr>
          <w:szCs w:val="22"/>
        </w:rPr>
        <w:t>measure</w:t>
      </w:r>
      <w:r w:rsidR="00273364" w:rsidRPr="003874DE">
        <w:rPr>
          <w:szCs w:val="22"/>
        </w:rPr>
        <w:t xml:space="preserve"> non-PAYE micro-employers</w:t>
      </w:r>
      <w:r w:rsidR="006B1169" w:rsidRPr="003874DE">
        <w:rPr>
          <w:szCs w:val="22"/>
        </w:rPr>
        <w:t>, those in self-employment</w:t>
      </w:r>
      <w:r w:rsidR="00273364" w:rsidRPr="003874DE">
        <w:rPr>
          <w:szCs w:val="22"/>
        </w:rPr>
        <w:t xml:space="preserve"> or the </w:t>
      </w:r>
      <w:r w:rsidR="006B1169" w:rsidRPr="003874DE">
        <w:rPr>
          <w:szCs w:val="22"/>
        </w:rPr>
        <w:t xml:space="preserve">informal </w:t>
      </w:r>
      <w:r w:rsidR="00273364" w:rsidRPr="003874DE">
        <w:rPr>
          <w:szCs w:val="22"/>
        </w:rPr>
        <w:t xml:space="preserve">economy. Its main drawback is that the </w:t>
      </w:r>
      <w:r w:rsidR="003C1399" w:rsidRPr="003874DE">
        <w:rPr>
          <w:szCs w:val="22"/>
        </w:rPr>
        <w:t>results</w:t>
      </w:r>
      <w:r w:rsidR="00273364" w:rsidRPr="003874DE">
        <w:rPr>
          <w:szCs w:val="22"/>
        </w:rPr>
        <w:t xml:space="preserve"> are not very timely, as the survey is </w:t>
      </w:r>
      <w:r w:rsidR="003C1399" w:rsidRPr="003874DE">
        <w:rPr>
          <w:szCs w:val="22"/>
        </w:rPr>
        <w:t>conducted</w:t>
      </w:r>
      <w:r w:rsidR="00273364" w:rsidRPr="003874DE">
        <w:rPr>
          <w:szCs w:val="22"/>
        </w:rPr>
        <w:t xml:space="preserve"> </w:t>
      </w:r>
      <w:r w:rsidR="003C1399" w:rsidRPr="003874DE">
        <w:rPr>
          <w:szCs w:val="22"/>
        </w:rPr>
        <w:t>in April</w:t>
      </w:r>
      <w:r w:rsidR="00273364" w:rsidRPr="003874DE">
        <w:rPr>
          <w:szCs w:val="22"/>
        </w:rPr>
        <w:t xml:space="preserve"> and published in </w:t>
      </w:r>
      <w:r w:rsidR="003C1399" w:rsidRPr="003874DE">
        <w:rPr>
          <w:szCs w:val="22"/>
        </w:rPr>
        <w:t>November</w:t>
      </w:r>
      <w:r w:rsidR="00273364" w:rsidRPr="003874DE">
        <w:rPr>
          <w:szCs w:val="22"/>
        </w:rPr>
        <w:t xml:space="preserve"> each year.</w:t>
      </w:r>
    </w:p>
    <w:p w:rsidR="00273364" w:rsidRPr="003874DE" w:rsidRDefault="003C1399" w:rsidP="003874DE">
      <w:pPr>
        <w:pStyle w:val="T5TextBody"/>
        <w:spacing w:line="276" w:lineRule="auto"/>
        <w:rPr>
          <w:szCs w:val="22"/>
        </w:rPr>
      </w:pPr>
      <w:r w:rsidRPr="003874DE">
        <w:rPr>
          <w:szCs w:val="22"/>
        </w:rPr>
        <w:t xml:space="preserve">As a result, many commentators </w:t>
      </w:r>
      <w:r w:rsidR="00A82A2B" w:rsidRPr="003874DE">
        <w:rPr>
          <w:szCs w:val="22"/>
        </w:rPr>
        <w:t>prefer AWE</w:t>
      </w:r>
      <w:r w:rsidRPr="003874DE">
        <w:rPr>
          <w:szCs w:val="22"/>
        </w:rPr>
        <w:t xml:space="preserve">, which </w:t>
      </w:r>
      <w:r w:rsidR="00162A4F" w:rsidRPr="003874DE">
        <w:rPr>
          <w:szCs w:val="22"/>
        </w:rPr>
        <w:t xml:space="preserve">is designated by the </w:t>
      </w:r>
      <w:r w:rsidRPr="003874DE">
        <w:rPr>
          <w:szCs w:val="22"/>
        </w:rPr>
        <w:t xml:space="preserve">ONS </w:t>
      </w:r>
      <w:r w:rsidR="00162A4F" w:rsidRPr="003874DE">
        <w:rPr>
          <w:szCs w:val="22"/>
        </w:rPr>
        <w:t xml:space="preserve">as the </w:t>
      </w:r>
      <w:r w:rsidRPr="003874DE">
        <w:rPr>
          <w:szCs w:val="22"/>
        </w:rPr>
        <w:t xml:space="preserve">lead survey on pay.  </w:t>
      </w:r>
      <w:r w:rsidR="00162A4F" w:rsidRPr="003874DE">
        <w:rPr>
          <w:szCs w:val="22"/>
        </w:rPr>
        <w:t xml:space="preserve">However, </w:t>
      </w:r>
      <w:r w:rsidR="00273364" w:rsidRPr="003874DE">
        <w:rPr>
          <w:szCs w:val="22"/>
        </w:rPr>
        <w:t xml:space="preserve">ONS </w:t>
      </w:r>
      <w:r w:rsidR="00162A4F" w:rsidRPr="003874DE">
        <w:rPr>
          <w:szCs w:val="22"/>
        </w:rPr>
        <w:t xml:space="preserve">also </w:t>
      </w:r>
      <w:r w:rsidR="00273364" w:rsidRPr="003874DE">
        <w:rPr>
          <w:szCs w:val="22"/>
        </w:rPr>
        <w:t>say</w:t>
      </w:r>
      <w:r w:rsidR="00162A4F" w:rsidRPr="003874DE">
        <w:rPr>
          <w:szCs w:val="22"/>
        </w:rPr>
        <w:t>s</w:t>
      </w:r>
      <w:r w:rsidR="00273364" w:rsidRPr="003874DE">
        <w:rPr>
          <w:szCs w:val="22"/>
        </w:rPr>
        <w:t xml:space="preserve"> that:  </w:t>
      </w:r>
    </w:p>
    <w:p w:rsidR="00AB273C" w:rsidRPr="003874DE" w:rsidRDefault="00273364" w:rsidP="003874DE">
      <w:pPr>
        <w:pStyle w:val="T5TextBody"/>
        <w:spacing w:line="276" w:lineRule="auto"/>
        <w:rPr>
          <w:szCs w:val="22"/>
        </w:rPr>
      </w:pPr>
      <w:r w:rsidRPr="003874DE">
        <w:rPr>
          <w:szCs w:val="22"/>
        </w:rPr>
        <w:t xml:space="preserve">“Average Weekly Earnings for any given month is the ratio of estimated total pay for the whole economy, divided by the total number of employees. </w:t>
      </w:r>
      <w:r w:rsidR="00DF4C23" w:rsidRPr="003874DE">
        <w:rPr>
          <w:szCs w:val="22"/>
        </w:rPr>
        <w:t xml:space="preserve">In other words, it </w:t>
      </w:r>
      <w:r w:rsidR="00116ED7" w:rsidRPr="003874DE">
        <w:rPr>
          <w:szCs w:val="22"/>
        </w:rPr>
        <w:t>is a survey</w:t>
      </w:r>
      <w:r w:rsidR="00DF4C23" w:rsidRPr="003874DE">
        <w:rPr>
          <w:szCs w:val="22"/>
        </w:rPr>
        <w:t xml:space="preserve"> of pay- bills. </w:t>
      </w:r>
      <w:r w:rsidRPr="003874DE">
        <w:rPr>
          <w:szCs w:val="22"/>
        </w:rPr>
        <w:t>As a result, AWE is not a measure of rates of pay and can be affected by changes in the composition of an enterprise’s workforce.</w:t>
      </w:r>
      <w:r w:rsidR="00AB273C" w:rsidRPr="003874DE">
        <w:rPr>
          <w:rStyle w:val="FootnoteReference"/>
          <w:sz w:val="22"/>
          <w:szCs w:val="22"/>
        </w:rPr>
        <w:footnoteReference w:id="6"/>
      </w:r>
      <w:r w:rsidRPr="003874DE">
        <w:rPr>
          <w:szCs w:val="22"/>
        </w:rPr>
        <w:t>” In</w:t>
      </w:r>
      <w:r w:rsidR="00AB273C" w:rsidRPr="003874DE">
        <w:rPr>
          <w:szCs w:val="22"/>
        </w:rPr>
        <w:t>deed</w:t>
      </w:r>
      <w:r w:rsidRPr="003874DE">
        <w:rPr>
          <w:szCs w:val="22"/>
        </w:rPr>
        <w:t xml:space="preserve">, its </w:t>
      </w:r>
      <w:r w:rsidR="003C1399" w:rsidRPr="003874DE">
        <w:rPr>
          <w:szCs w:val="22"/>
        </w:rPr>
        <w:t>first</w:t>
      </w:r>
      <w:r w:rsidRPr="003874DE">
        <w:rPr>
          <w:szCs w:val="22"/>
        </w:rPr>
        <w:t xml:space="preserve"> purpose is “to measure the inflationary pressure emanating from the labour market</w:t>
      </w:r>
      <w:r w:rsidR="00AB273C" w:rsidRPr="003874DE">
        <w:rPr>
          <w:rStyle w:val="FootnoteReference"/>
          <w:sz w:val="22"/>
          <w:szCs w:val="22"/>
        </w:rPr>
        <w:footnoteReference w:id="7"/>
      </w:r>
      <w:r w:rsidRPr="003874DE">
        <w:rPr>
          <w:szCs w:val="22"/>
        </w:rPr>
        <w:t xml:space="preserve">”. </w:t>
      </w:r>
    </w:p>
    <w:p w:rsidR="00AB273C" w:rsidRPr="003874DE" w:rsidRDefault="00AB273C" w:rsidP="003874DE">
      <w:pPr>
        <w:pStyle w:val="T5TextBody"/>
        <w:spacing w:line="276" w:lineRule="auto"/>
        <w:rPr>
          <w:szCs w:val="22"/>
        </w:rPr>
      </w:pPr>
      <w:r w:rsidRPr="003874DE">
        <w:rPr>
          <w:szCs w:val="22"/>
        </w:rPr>
        <w:t xml:space="preserve">The indices of pay </w:t>
      </w:r>
      <w:r w:rsidR="003C1399" w:rsidRPr="003874DE">
        <w:rPr>
          <w:szCs w:val="22"/>
        </w:rPr>
        <w:t>settlements</w:t>
      </w:r>
      <w:r w:rsidRPr="003874DE">
        <w:rPr>
          <w:szCs w:val="22"/>
        </w:rPr>
        <w:t xml:space="preserve"> </w:t>
      </w:r>
      <w:r w:rsidR="003C1399" w:rsidRPr="003874DE">
        <w:rPr>
          <w:szCs w:val="22"/>
        </w:rPr>
        <w:t>are</w:t>
      </w:r>
      <w:r w:rsidRPr="003874DE">
        <w:rPr>
          <w:szCs w:val="22"/>
        </w:rPr>
        <w:t xml:space="preserve"> also matters of </w:t>
      </w:r>
      <w:r w:rsidR="003C1399" w:rsidRPr="003874DE">
        <w:rPr>
          <w:szCs w:val="22"/>
        </w:rPr>
        <w:t>considerable</w:t>
      </w:r>
      <w:r w:rsidRPr="003874DE">
        <w:rPr>
          <w:szCs w:val="22"/>
        </w:rPr>
        <w:t xml:space="preserve"> </w:t>
      </w:r>
      <w:r w:rsidR="003C1399" w:rsidRPr="003874DE">
        <w:rPr>
          <w:szCs w:val="22"/>
        </w:rPr>
        <w:t>interest</w:t>
      </w:r>
      <w:r w:rsidRPr="003874DE">
        <w:rPr>
          <w:szCs w:val="22"/>
        </w:rPr>
        <w:t xml:space="preserve">, but their application is </w:t>
      </w:r>
      <w:r w:rsidR="003C1399" w:rsidRPr="003874DE">
        <w:rPr>
          <w:szCs w:val="22"/>
        </w:rPr>
        <w:t>limited</w:t>
      </w:r>
      <w:r w:rsidRPr="003874DE">
        <w:rPr>
          <w:szCs w:val="22"/>
        </w:rPr>
        <w:t xml:space="preserve"> by their </w:t>
      </w:r>
      <w:r w:rsidR="003C1399" w:rsidRPr="003874DE">
        <w:rPr>
          <w:szCs w:val="22"/>
        </w:rPr>
        <w:t>representativeness</w:t>
      </w:r>
      <w:r w:rsidRPr="003874DE">
        <w:rPr>
          <w:szCs w:val="22"/>
        </w:rPr>
        <w:t xml:space="preserve">. </w:t>
      </w:r>
      <w:r w:rsidR="003C1399" w:rsidRPr="003874DE">
        <w:rPr>
          <w:szCs w:val="22"/>
        </w:rPr>
        <w:t xml:space="preserve">The TUC’s view is that they tend to collect information only from medium and large size businesses (with some </w:t>
      </w:r>
      <w:r w:rsidR="003C1399" w:rsidRPr="003874DE">
        <w:rPr>
          <w:szCs w:val="22"/>
        </w:rPr>
        <w:lastRenderedPageBreak/>
        <w:t>help from unions) that are sophisticated enough to have an identifiable personnel function.</w:t>
      </w:r>
    </w:p>
    <w:p w:rsidR="00AB273C" w:rsidRPr="003874DE" w:rsidRDefault="00AB273C" w:rsidP="003874DE">
      <w:pPr>
        <w:pStyle w:val="T5TextBody"/>
        <w:spacing w:line="276" w:lineRule="auto"/>
        <w:rPr>
          <w:szCs w:val="22"/>
        </w:rPr>
      </w:pPr>
      <w:r w:rsidRPr="003874DE">
        <w:rPr>
          <w:szCs w:val="22"/>
        </w:rPr>
        <w:t xml:space="preserve">In </w:t>
      </w:r>
      <w:r w:rsidR="003C1399" w:rsidRPr="003874DE">
        <w:rPr>
          <w:szCs w:val="22"/>
        </w:rPr>
        <w:t>order</w:t>
      </w:r>
      <w:r w:rsidRPr="003874DE">
        <w:rPr>
          <w:szCs w:val="22"/>
        </w:rPr>
        <w:t xml:space="preserve"> to </w:t>
      </w:r>
      <w:r w:rsidR="002B25E5" w:rsidRPr="003874DE">
        <w:rPr>
          <w:szCs w:val="22"/>
        </w:rPr>
        <w:t>take a</w:t>
      </w:r>
      <w:r w:rsidRPr="003874DE">
        <w:rPr>
          <w:szCs w:val="22"/>
        </w:rPr>
        <w:t xml:space="preserve"> snapshot of </w:t>
      </w:r>
      <w:r w:rsidR="00185A7A">
        <w:rPr>
          <w:szCs w:val="22"/>
        </w:rPr>
        <w:t xml:space="preserve">how </w:t>
      </w:r>
      <w:r w:rsidR="00185A7A" w:rsidRPr="003874DE">
        <w:rPr>
          <w:szCs w:val="22"/>
        </w:rPr>
        <w:t>the</w:t>
      </w:r>
      <w:r w:rsidRPr="003874DE">
        <w:rPr>
          <w:szCs w:val="22"/>
        </w:rPr>
        <w:t xml:space="preserve"> </w:t>
      </w:r>
      <w:r w:rsidR="00162A4F" w:rsidRPr="003874DE">
        <w:rPr>
          <w:szCs w:val="22"/>
        </w:rPr>
        <w:t xml:space="preserve">ONS surveys </w:t>
      </w:r>
      <w:r w:rsidR="00185A7A">
        <w:rPr>
          <w:szCs w:val="22"/>
        </w:rPr>
        <w:t>differ</w:t>
      </w:r>
      <w:r w:rsidRPr="003874DE">
        <w:rPr>
          <w:szCs w:val="22"/>
        </w:rPr>
        <w:t xml:space="preserve"> in practice, we can compare the </w:t>
      </w:r>
      <w:r w:rsidR="00BC62C9" w:rsidRPr="003874DE">
        <w:rPr>
          <w:szCs w:val="22"/>
        </w:rPr>
        <w:t xml:space="preserve">ASHE and AWE </w:t>
      </w:r>
      <w:r w:rsidRPr="003874DE">
        <w:rPr>
          <w:szCs w:val="22"/>
        </w:rPr>
        <w:t xml:space="preserve">results for </w:t>
      </w:r>
      <w:r w:rsidR="003C1399" w:rsidRPr="003874DE">
        <w:rPr>
          <w:szCs w:val="22"/>
        </w:rPr>
        <w:t>April</w:t>
      </w:r>
      <w:r w:rsidRPr="003874DE">
        <w:rPr>
          <w:szCs w:val="22"/>
        </w:rPr>
        <w:t xml:space="preserve"> 2013, which was the date when the fieldwork for the most recent </w:t>
      </w:r>
      <w:r w:rsidR="00E4644C" w:rsidRPr="003874DE">
        <w:rPr>
          <w:szCs w:val="22"/>
        </w:rPr>
        <w:t xml:space="preserve">ASHE </w:t>
      </w:r>
      <w:r w:rsidRPr="003874DE">
        <w:rPr>
          <w:szCs w:val="22"/>
        </w:rPr>
        <w:t xml:space="preserve">survey was </w:t>
      </w:r>
      <w:r w:rsidR="003C1399" w:rsidRPr="003874DE">
        <w:rPr>
          <w:szCs w:val="22"/>
        </w:rPr>
        <w:t>conducted</w:t>
      </w:r>
      <w:r w:rsidR="00E4644C" w:rsidRPr="003874DE">
        <w:rPr>
          <w:szCs w:val="22"/>
        </w:rPr>
        <w:t>. The</w:t>
      </w:r>
      <w:r w:rsidR="00185A7A">
        <w:rPr>
          <w:szCs w:val="22"/>
        </w:rPr>
        <w:t xml:space="preserve"> results are as follows</w:t>
      </w:r>
      <w:r w:rsidRPr="003874DE">
        <w:rPr>
          <w:szCs w:val="22"/>
        </w:rPr>
        <w:t>:</w:t>
      </w:r>
    </w:p>
    <w:p w:rsidR="002B25E5" w:rsidRPr="003874DE" w:rsidRDefault="002B25E5" w:rsidP="003874DE">
      <w:pPr>
        <w:pStyle w:val="T5TextBody"/>
        <w:spacing w:line="276" w:lineRule="auto"/>
        <w:rPr>
          <w:szCs w:val="22"/>
        </w:rPr>
      </w:pPr>
    </w:p>
    <w:p w:rsidR="00AB273C" w:rsidRPr="003874DE" w:rsidRDefault="00E4644C" w:rsidP="003874DE">
      <w:pPr>
        <w:pStyle w:val="T5TextBody"/>
        <w:numPr>
          <w:ilvl w:val="0"/>
          <w:numId w:val="17"/>
        </w:numPr>
        <w:spacing w:line="276" w:lineRule="auto"/>
        <w:rPr>
          <w:szCs w:val="22"/>
        </w:rPr>
      </w:pPr>
      <w:r w:rsidRPr="003874DE">
        <w:rPr>
          <w:szCs w:val="22"/>
        </w:rPr>
        <w:t xml:space="preserve">ASHE </w:t>
      </w:r>
      <w:r w:rsidR="00AB273C" w:rsidRPr="003874DE">
        <w:rPr>
          <w:szCs w:val="22"/>
        </w:rPr>
        <w:t>2013 (</w:t>
      </w:r>
      <w:r w:rsidR="00071E32" w:rsidRPr="003874DE">
        <w:rPr>
          <w:szCs w:val="22"/>
        </w:rPr>
        <w:t>mean</w:t>
      </w:r>
      <w:r w:rsidR="00AB273C" w:rsidRPr="003874DE">
        <w:rPr>
          <w:szCs w:val="22"/>
        </w:rPr>
        <w:t>)</w:t>
      </w:r>
      <w:r w:rsidR="00BC62C9" w:rsidRPr="003874DE">
        <w:rPr>
          <w:szCs w:val="22"/>
        </w:rPr>
        <w:t xml:space="preserve"> +2.1 per </w:t>
      </w:r>
      <w:r w:rsidR="003C1399" w:rsidRPr="003874DE">
        <w:rPr>
          <w:szCs w:val="22"/>
        </w:rPr>
        <w:t>cent</w:t>
      </w:r>
    </w:p>
    <w:p w:rsidR="00E4644C" w:rsidRPr="003874DE" w:rsidRDefault="00E4644C" w:rsidP="003874DE">
      <w:pPr>
        <w:pStyle w:val="T5TextBody"/>
        <w:numPr>
          <w:ilvl w:val="0"/>
          <w:numId w:val="17"/>
        </w:numPr>
        <w:spacing w:line="276" w:lineRule="auto"/>
        <w:rPr>
          <w:szCs w:val="22"/>
        </w:rPr>
      </w:pPr>
      <w:r w:rsidRPr="003874DE">
        <w:rPr>
          <w:szCs w:val="22"/>
        </w:rPr>
        <w:t>ASHE 2013 (median) + 3</w:t>
      </w:r>
      <w:r w:rsidR="00162A4F" w:rsidRPr="003874DE">
        <w:rPr>
          <w:szCs w:val="22"/>
        </w:rPr>
        <w:t>.0</w:t>
      </w:r>
      <w:r w:rsidRPr="003874DE">
        <w:rPr>
          <w:szCs w:val="22"/>
        </w:rPr>
        <w:t xml:space="preserve"> per cent</w:t>
      </w:r>
    </w:p>
    <w:p w:rsidR="00E4644C" w:rsidRPr="003874DE" w:rsidRDefault="00BC62C9" w:rsidP="003874DE">
      <w:pPr>
        <w:pStyle w:val="T5TextBody"/>
        <w:numPr>
          <w:ilvl w:val="0"/>
          <w:numId w:val="17"/>
        </w:numPr>
        <w:spacing w:line="276" w:lineRule="auto"/>
        <w:rPr>
          <w:szCs w:val="22"/>
        </w:rPr>
      </w:pPr>
      <w:r w:rsidRPr="003874DE">
        <w:rPr>
          <w:szCs w:val="22"/>
        </w:rPr>
        <w:t xml:space="preserve">AWE </w:t>
      </w:r>
      <w:r w:rsidR="003C1399" w:rsidRPr="003874DE">
        <w:rPr>
          <w:szCs w:val="22"/>
        </w:rPr>
        <w:t>total</w:t>
      </w:r>
      <w:r w:rsidR="00CD12BD" w:rsidRPr="003874DE">
        <w:rPr>
          <w:szCs w:val="22"/>
        </w:rPr>
        <w:t xml:space="preserve"> pay +0.6 per </w:t>
      </w:r>
      <w:r w:rsidR="003C1399" w:rsidRPr="003874DE">
        <w:rPr>
          <w:szCs w:val="22"/>
        </w:rPr>
        <w:t>cent</w:t>
      </w:r>
    </w:p>
    <w:p w:rsidR="00BC62C9" w:rsidRPr="003874DE" w:rsidRDefault="00E4644C" w:rsidP="003874DE">
      <w:pPr>
        <w:pStyle w:val="T5TextBody"/>
        <w:numPr>
          <w:ilvl w:val="0"/>
          <w:numId w:val="17"/>
        </w:numPr>
        <w:spacing w:line="276" w:lineRule="auto"/>
        <w:rPr>
          <w:szCs w:val="22"/>
        </w:rPr>
      </w:pPr>
      <w:r w:rsidRPr="003874DE">
        <w:rPr>
          <w:szCs w:val="22"/>
        </w:rPr>
        <w:t>AWE regular pay +0.6 per cent</w:t>
      </w:r>
      <w:r w:rsidR="00CD12BD" w:rsidRPr="003874DE">
        <w:rPr>
          <w:szCs w:val="22"/>
        </w:rPr>
        <w:t xml:space="preserve"> </w:t>
      </w:r>
    </w:p>
    <w:p w:rsidR="002B25E5" w:rsidRPr="003874DE" w:rsidRDefault="002B25E5" w:rsidP="003874DE">
      <w:pPr>
        <w:pStyle w:val="T5TextBody"/>
        <w:spacing w:line="276" w:lineRule="auto"/>
        <w:rPr>
          <w:szCs w:val="22"/>
        </w:rPr>
      </w:pPr>
    </w:p>
    <w:p w:rsidR="00BC62C9" w:rsidRPr="003874DE" w:rsidRDefault="00E4644C" w:rsidP="003874DE">
      <w:pPr>
        <w:pStyle w:val="T5TextBody"/>
        <w:spacing w:line="276" w:lineRule="auto"/>
        <w:rPr>
          <w:szCs w:val="22"/>
        </w:rPr>
      </w:pPr>
      <w:r w:rsidRPr="003874DE">
        <w:rPr>
          <w:szCs w:val="22"/>
        </w:rPr>
        <w:t xml:space="preserve">Given this evidence, we </w:t>
      </w:r>
      <w:r w:rsidR="00265F50" w:rsidRPr="003874DE">
        <w:rPr>
          <w:szCs w:val="22"/>
        </w:rPr>
        <w:t>draw</w:t>
      </w:r>
      <w:r w:rsidR="003C1399" w:rsidRPr="003874DE">
        <w:rPr>
          <w:szCs w:val="22"/>
        </w:rPr>
        <w:t xml:space="preserve"> the </w:t>
      </w:r>
      <w:r w:rsidR="00265F50" w:rsidRPr="003874DE">
        <w:rPr>
          <w:szCs w:val="22"/>
        </w:rPr>
        <w:t>inevitable</w:t>
      </w:r>
      <w:r w:rsidR="003C1399" w:rsidRPr="003874DE">
        <w:rPr>
          <w:szCs w:val="22"/>
        </w:rPr>
        <w:t xml:space="preserve"> conclusion that pay rates </w:t>
      </w:r>
      <w:r w:rsidRPr="003874DE">
        <w:rPr>
          <w:szCs w:val="22"/>
        </w:rPr>
        <w:t xml:space="preserve">have </w:t>
      </w:r>
      <w:r w:rsidR="00071E32" w:rsidRPr="003874DE">
        <w:rPr>
          <w:szCs w:val="22"/>
        </w:rPr>
        <w:t xml:space="preserve">actually </w:t>
      </w:r>
      <w:r w:rsidRPr="003874DE">
        <w:rPr>
          <w:szCs w:val="22"/>
        </w:rPr>
        <w:t>been rising faster than pay bills</w:t>
      </w:r>
      <w:r w:rsidR="003C1399" w:rsidRPr="003874DE">
        <w:rPr>
          <w:szCs w:val="22"/>
        </w:rPr>
        <w:t xml:space="preserve">. In addition, </w:t>
      </w:r>
      <w:r w:rsidR="00265F50" w:rsidRPr="003874DE">
        <w:rPr>
          <w:szCs w:val="22"/>
        </w:rPr>
        <w:t>unusually</w:t>
      </w:r>
      <w:r w:rsidR="00BC62C9" w:rsidRPr="003874DE">
        <w:rPr>
          <w:szCs w:val="22"/>
        </w:rPr>
        <w:t xml:space="preserve">, </w:t>
      </w:r>
      <w:r w:rsidR="00265F50" w:rsidRPr="003874DE">
        <w:rPr>
          <w:szCs w:val="22"/>
        </w:rPr>
        <w:t xml:space="preserve">we note that </w:t>
      </w:r>
      <w:r w:rsidR="00071E32" w:rsidRPr="003874DE">
        <w:rPr>
          <w:szCs w:val="22"/>
        </w:rPr>
        <w:t xml:space="preserve">the </w:t>
      </w:r>
      <w:r w:rsidR="00185A7A">
        <w:rPr>
          <w:szCs w:val="22"/>
        </w:rPr>
        <w:t xml:space="preserve">growth in lower paid jobs and the </w:t>
      </w:r>
      <w:r w:rsidR="00071E32" w:rsidRPr="003874DE">
        <w:rPr>
          <w:szCs w:val="22"/>
        </w:rPr>
        <w:t xml:space="preserve">recent move towards re-weighting top </w:t>
      </w:r>
      <w:r w:rsidR="00116ED7" w:rsidRPr="003874DE">
        <w:rPr>
          <w:szCs w:val="22"/>
        </w:rPr>
        <w:t>remuneration</w:t>
      </w:r>
      <w:r w:rsidR="00071E32" w:rsidRPr="003874DE">
        <w:rPr>
          <w:szCs w:val="22"/>
        </w:rPr>
        <w:t xml:space="preserve"> packages away from bonuses and earnings </w:t>
      </w:r>
      <w:r w:rsidR="0048264B">
        <w:rPr>
          <w:szCs w:val="22"/>
        </w:rPr>
        <w:t>ha</w:t>
      </w:r>
      <w:r w:rsidR="00185A7A">
        <w:rPr>
          <w:szCs w:val="22"/>
        </w:rPr>
        <w:t>ve</w:t>
      </w:r>
      <w:r w:rsidR="0048264B" w:rsidRPr="003874DE">
        <w:rPr>
          <w:szCs w:val="22"/>
        </w:rPr>
        <w:t xml:space="preserve"> </w:t>
      </w:r>
      <w:r w:rsidR="00071E32" w:rsidRPr="003874DE">
        <w:rPr>
          <w:szCs w:val="22"/>
        </w:rPr>
        <w:t xml:space="preserve">contributed to the very unusual outcome </w:t>
      </w:r>
      <w:r w:rsidR="00A82B02" w:rsidRPr="003874DE">
        <w:rPr>
          <w:szCs w:val="22"/>
        </w:rPr>
        <w:t>that pay</w:t>
      </w:r>
      <w:r w:rsidR="00BC62C9" w:rsidRPr="003874DE">
        <w:rPr>
          <w:szCs w:val="22"/>
        </w:rPr>
        <w:t xml:space="preserve"> </w:t>
      </w:r>
      <w:r w:rsidR="00071E32" w:rsidRPr="003874DE">
        <w:rPr>
          <w:szCs w:val="22"/>
        </w:rPr>
        <w:t xml:space="preserve">was </w:t>
      </w:r>
      <w:r w:rsidR="00A82B02" w:rsidRPr="003874DE">
        <w:rPr>
          <w:szCs w:val="22"/>
        </w:rPr>
        <w:t>growing faster</w:t>
      </w:r>
      <w:r w:rsidR="00BC62C9" w:rsidRPr="003874DE">
        <w:rPr>
          <w:szCs w:val="22"/>
        </w:rPr>
        <w:t xml:space="preserve"> at the median than at the mean</w:t>
      </w:r>
      <w:r w:rsidR="00071E32" w:rsidRPr="003874DE">
        <w:rPr>
          <w:szCs w:val="22"/>
        </w:rPr>
        <w:t>,</w:t>
      </w:r>
      <w:r w:rsidR="00CD12BD" w:rsidRPr="003874DE">
        <w:rPr>
          <w:szCs w:val="22"/>
        </w:rPr>
        <w:t xml:space="preserve"> </w:t>
      </w:r>
      <w:r w:rsidR="00071E32" w:rsidRPr="003874DE">
        <w:rPr>
          <w:szCs w:val="22"/>
        </w:rPr>
        <w:t xml:space="preserve">according </w:t>
      </w:r>
      <w:r w:rsidR="00116ED7" w:rsidRPr="003874DE">
        <w:rPr>
          <w:szCs w:val="22"/>
        </w:rPr>
        <w:t>to</w:t>
      </w:r>
      <w:r w:rsidR="00071E32" w:rsidRPr="003874DE">
        <w:rPr>
          <w:szCs w:val="22"/>
        </w:rPr>
        <w:t xml:space="preserve"> ASHE.</w:t>
      </w:r>
    </w:p>
    <w:p w:rsidR="00BC62C9" w:rsidRPr="003874DE" w:rsidRDefault="00BC62C9" w:rsidP="003874DE">
      <w:pPr>
        <w:pStyle w:val="T5TextBody"/>
        <w:spacing w:line="276" w:lineRule="auto"/>
        <w:rPr>
          <w:szCs w:val="22"/>
        </w:rPr>
      </w:pPr>
      <w:r w:rsidRPr="003874DE">
        <w:rPr>
          <w:szCs w:val="22"/>
        </w:rPr>
        <w:t xml:space="preserve">In addition, pay growth </w:t>
      </w:r>
      <w:r w:rsidR="00CD12BD" w:rsidRPr="003874DE">
        <w:rPr>
          <w:szCs w:val="22"/>
        </w:rPr>
        <w:t xml:space="preserve">in ASHE </w:t>
      </w:r>
      <w:r w:rsidRPr="003874DE">
        <w:rPr>
          <w:szCs w:val="22"/>
        </w:rPr>
        <w:t xml:space="preserve">was stronger for part-time workers than for all employees, showing a 2.6 per </w:t>
      </w:r>
      <w:r w:rsidR="00265F50" w:rsidRPr="003874DE">
        <w:rPr>
          <w:szCs w:val="22"/>
        </w:rPr>
        <w:t>cent</w:t>
      </w:r>
      <w:r w:rsidRPr="003874DE">
        <w:rPr>
          <w:szCs w:val="22"/>
        </w:rPr>
        <w:t xml:space="preserve"> mean and 3.3 per </w:t>
      </w:r>
      <w:r w:rsidR="00265F50" w:rsidRPr="003874DE">
        <w:rPr>
          <w:szCs w:val="22"/>
        </w:rPr>
        <w:t>cent</w:t>
      </w:r>
      <w:r w:rsidRPr="003874DE">
        <w:rPr>
          <w:szCs w:val="22"/>
        </w:rPr>
        <w:t xml:space="preserve"> at the </w:t>
      </w:r>
      <w:r w:rsidR="00265F50" w:rsidRPr="003874DE">
        <w:rPr>
          <w:szCs w:val="22"/>
        </w:rPr>
        <w:t xml:space="preserve">median. </w:t>
      </w:r>
      <w:r w:rsidR="00CD12BD" w:rsidRPr="003874DE">
        <w:rPr>
          <w:szCs w:val="22"/>
        </w:rPr>
        <w:t xml:space="preserve">This is quite important information, </w:t>
      </w:r>
      <w:r w:rsidR="00265F50" w:rsidRPr="003874DE">
        <w:rPr>
          <w:szCs w:val="22"/>
        </w:rPr>
        <w:t>given</w:t>
      </w:r>
      <w:r w:rsidR="00CD12BD" w:rsidRPr="003874DE">
        <w:rPr>
          <w:szCs w:val="22"/>
        </w:rPr>
        <w:t xml:space="preserve"> the LPC will </w:t>
      </w:r>
      <w:r w:rsidR="00265F50" w:rsidRPr="003874DE">
        <w:rPr>
          <w:szCs w:val="22"/>
        </w:rPr>
        <w:t>necessarily</w:t>
      </w:r>
      <w:r w:rsidR="00CD12BD" w:rsidRPr="003874DE">
        <w:rPr>
          <w:szCs w:val="22"/>
        </w:rPr>
        <w:t xml:space="preserve"> be </w:t>
      </w:r>
      <w:r w:rsidR="00265F50" w:rsidRPr="003874DE">
        <w:rPr>
          <w:szCs w:val="22"/>
        </w:rPr>
        <w:t>interested</w:t>
      </w:r>
      <w:r w:rsidR="00CD12BD" w:rsidRPr="003874DE">
        <w:rPr>
          <w:szCs w:val="22"/>
        </w:rPr>
        <w:t xml:space="preserve"> more in those in the bottom </w:t>
      </w:r>
      <w:r w:rsidR="00265F50" w:rsidRPr="003874DE">
        <w:rPr>
          <w:szCs w:val="22"/>
        </w:rPr>
        <w:t>half</w:t>
      </w:r>
      <w:r w:rsidR="00CD12BD" w:rsidRPr="003874DE">
        <w:rPr>
          <w:szCs w:val="22"/>
        </w:rPr>
        <w:t xml:space="preserve"> of the earnings distribution</w:t>
      </w:r>
      <w:r w:rsidR="0048264B">
        <w:rPr>
          <w:szCs w:val="22"/>
        </w:rPr>
        <w:t xml:space="preserve"> and that part-time workers tend to be concentrated in lower paying sectors</w:t>
      </w:r>
      <w:r w:rsidR="00CD12BD" w:rsidRPr="003874DE">
        <w:rPr>
          <w:szCs w:val="22"/>
        </w:rPr>
        <w:t>.</w:t>
      </w:r>
    </w:p>
    <w:p w:rsidR="000550AF" w:rsidRPr="003874DE" w:rsidRDefault="00CD12BD" w:rsidP="003874DE">
      <w:pPr>
        <w:pStyle w:val="T5TextBody"/>
        <w:spacing w:line="276" w:lineRule="auto"/>
        <w:rPr>
          <w:szCs w:val="22"/>
        </w:rPr>
      </w:pPr>
      <w:r w:rsidRPr="003874DE">
        <w:rPr>
          <w:szCs w:val="22"/>
        </w:rPr>
        <w:t xml:space="preserve">ONS </w:t>
      </w:r>
      <w:r w:rsidR="00BF3A8E" w:rsidRPr="003874DE">
        <w:rPr>
          <w:szCs w:val="22"/>
        </w:rPr>
        <w:t xml:space="preserve">has </w:t>
      </w:r>
      <w:r w:rsidRPr="003874DE">
        <w:rPr>
          <w:szCs w:val="22"/>
        </w:rPr>
        <w:t>also publishe</w:t>
      </w:r>
      <w:r w:rsidR="00BF3A8E" w:rsidRPr="003874DE">
        <w:rPr>
          <w:szCs w:val="22"/>
        </w:rPr>
        <w:t>d</w:t>
      </w:r>
      <w:r w:rsidRPr="003874DE">
        <w:rPr>
          <w:szCs w:val="22"/>
        </w:rPr>
        <w:t xml:space="preserve"> an </w:t>
      </w:r>
      <w:r w:rsidR="00265F50" w:rsidRPr="003874DE">
        <w:rPr>
          <w:szCs w:val="22"/>
        </w:rPr>
        <w:t>analysis</w:t>
      </w:r>
      <w:r w:rsidRPr="003874DE">
        <w:rPr>
          <w:szCs w:val="22"/>
        </w:rPr>
        <w:t xml:space="preserve"> of the extent to which AWE is </w:t>
      </w:r>
      <w:r w:rsidR="00265F50" w:rsidRPr="003874DE">
        <w:rPr>
          <w:szCs w:val="22"/>
        </w:rPr>
        <w:t>affected</w:t>
      </w:r>
      <w:r w:rsidRPr="003874DE">
        <w:rPr>
          <w:szCs w:val="22"/>
        </w:rPr>
        <w:t xml:space="preserve"> by compositional changes </w:t>
      </w:r>
      <w:r w:rsidR="00265F50" w:rsidRPr="003874DE">
        <w:rPr>
          <w:szCs w:val="22"/>
        </w:rPr>
        <w:t>rather</w:t>
      </w:r>
      <w:r w:rsidRPr="003874DE">
        <w:rPr>
          <w:szCs w:val="22"/>
        </w:rPr>
        <w:t xml:space="preserve"> than real changes in pay rates. Th</w:t>
      </w:r>
      <w:r w:rsidR="00BF3A8E" w:rsidRPr="003874DE">
        <w:rPr>
          <w:szCs w:val="22"/>
        </w:rPr>
        <w:t>e</w:t>
      </w:r>
      <w:r w:rsidRPr="003874DE">
        <w:rPr>
          <w:szCs w:val="22"/>
        </w:rPr>
        <w:t xml:space="preserve"> </w:t>
      </w:r>
      <w:r w:rsidR="00BF3A8E" w:rsidRPr="003874DE">
        <w:rPr>
          <w:szCs w:val="22"/>
        </w:rPr>
        <w:t xml:space="preserve">breakdown for the </w:t>
      </w:r>
      <w:r w:rsidR="00116ED7" w:rsidRPr="003874DE">
        <w:rPr>
          <w:szCs w:val="22"/>
        </w:rPr>
        <w:t>year</w:t>
      </w:r>
      <w:r w:rsidR="00185A7A">
        <w:rPr>
          <w:szCs w:val="22"/>
        </w:rPr>
        <w:t xml:space="preserve"> to January 2014</w:t>
      </w:r>
      <w:r w:rsidR="002B25E5" w:rsidRPr="003874DE">
        <w:rPr>
          <w:szCs w:val="22"/>
        </w:rPr>
        <w:t xml:space="preserve"> shows</w:t>
      </w:r>
      <w:r w:rsidR="001352B8" w:rsidRPr="003874DE">
        <w:rPr>
          <w:szCs w:val="22"/>
        </w:rPr>
        <w:t xml:space="preserve"> that total </w:t>
      </w:r>
      <w:r w:rsidR="00265F50" w:rsidRPr="003874DE">
        <w:rPr>
          <w:szCs w:val="22"/>
        </w:rPr>
        <w:t>earnings</w:t>
      </w:r>
      <w:r w:rsidR="001352B8" w:rsidRPr="003874DE">
        <w:rPr>
          <w:szCs w:val="22"/>
        </w:rPr>
        <w:t xml:space="preserve"> grew by </w:t>
      </w:r>
      <w:r w:rsidR="00BF3A8E" w:rsidRPr="003874DE">
        <w:rPr>
          <w:szCs w:val="22"/>
        </w:rPr>
        <w:t>2</w:t>
      </w:r>
      <w:r w:rsidR="001352B8" w:rsidRPr="003874DE">
        <w:rPr>
          <w:szCs w:val="22"/>
        </w:rPr>
        <w:t>.</w:t>
      </w:r>
      <w:r w:rsidR="00BF3A8E" w:rsidRPr="003874DE">
        <w:rPr>
          <w:szCs w:val="22"/>
        </w:rPr>
        <w:t>1</w:t>
      </w:r>
      <w:r w:rsidR="001352B8" w:rsidRPr="003874DE">
        <w:rPr>
          <w:szCs w:val="22"/>
        </w:rPr>
        <w:t xml:space="preserve"> per </w:t>
      </w:r>
      <w:r w:rsidR="00265F50" w:rsidRPr="003874DE">
        <w:rPr>
          <w:szCs w:val="22"/>
        </w:rPr>
        <w:t>cent</w:t>
      </w:r>
      <w:r w:rsidR="001352B8" w:rsidRPr="003874DE">
        <w:rPr>
          <w:szCs w:val="22"/>
        </w:rPr>
        <w:t xml:space="preserve"> and </w:t>
      </w:r>
      <w:r w:rsidR="00265F50" w:rsidRPr="003874DE">
        <w:rPr>
          <w:szCs w:val="22"/>
        </w:rPr>
        <w:t>regular</w:t>
      </w:r>
      <w:r w:rsidR="001352B8" w:rsidRPr="003874DE">
        <w:rPr>
          <w:szCs w:val="22"/>
        </w:rPr>
        <w:t xml:space="preserve"> pay by </w:t>
      </w:r>
      <w:r w:rsidR="00BF3A8E" w:rsidRPr="003874DE">
        <w:rPr>
          <w:szCs w:val="22"/>
        </w:rPr>
        <w:t>2</w:t>
      </w:r>
      <w:r w:rsidR="001352B8" w:rsidRPr="003874DE">
        <w:rPr>
          <w:szCs w:val="22"/>
        </w:rPr>
        <w:t>.</w:t>
      </w:r>
      <w:r w:rsidR="00BF3A8E" w:rsidRPr="003874DE">
        <w:rPr>
          <w:szCs w:val="22"/>
        </w:rPr>
        <w:t>2</w:t>
      </w:r>
      <w:r w:rsidR="001352B8" w:rsidRPr="003874DE">
        <w:rPr>
          <w:szCs w:val="22"/>
        </w:rPr>
        <w:t xml:space="preserve"> per cent</w:t>
      </w:r>
      <w:r w:rsidR="001352B8" w:rsidRPr="003874DE">
        <w:rPr>
          <w:rStyle w:val="FootnoteReference"/>
          <w:sz w:val="22"/>
          <w:szCs w:val="22"/>
        </w:rPr>
        <w:footnoteReference w:id="8"/>
      </w:r>
      <w:r w:rsidR="001352B8" w:rsidRPr="003874DE">
        <w:rPr>
          <w:szCs w:val="22"/>
        </w:rPr>
        <w:t xml:space="preserve">, once </w:t>
      </w:r>
      <w:r w:rsidR="00BF3A8E" w:rsidRPr="003874DE">
        <w:rPr>
          <w:szCs w:val="22"/>
        </w:rPr>
        <w:t xml:space="preserve">changes in </w:t>
      </w:r>
      <w:r w:rsidR="00116ED7" w:rsidRPr="003874DE">
        <w:rPr>
          <w:szCs w:val="22"/>
        </w:rPr>
        <w:t>the</w:t>
      </w:r>
      <w:r w:rsidR="00BF3A8E" w:rsidRPr="003874DE">
        <w:rPr>
          <w:szCs w:val="22"/>
        </w:rPr>
        <w:t xml:space="preserve"> </w:t>
      </w:r>
      <w:r w:rsidR="002B25E5" w:rsidRPr="003874DE">
        <w:rPr>
          <w:szCs w:val="22"/>
        </w:rPr>
        <w:t>composition of</w:t>
      </w:r>
      <w:r w:rsidR="00BF3A8E" w:rsidRPr="003874DE">
        <w:rPr>
          <w:szCs w:val="22"/>
        </w:rPr>
        <w:t xml:space="preserve"> the workforce </w:t>
      </w:r>
      <w:r w:rsidR="001352B8" w:rsidRPr="003874DE">
        <w:rPr>
          <w:szCs w:val="22"/>
        </w:rPr>
        <w:t xml:space="preserve">are excluded. To put it another way, </w:t>
      </w:r>
      <w:r w:rsidR="00E4644C" w:rsidRPr="003874DE">
        <w:rPr>
          <w:szCs w:val="22"/>
        </w:rPr>
        <w:t xml:space="preserve">ONS </w:t>
      </w:r>
      <w:r w:rsidR="00185A7A">
        <w:rPr>
          <w:szCs w:val="22"/>
        </w:rPr>
        <w:t>found</w:t>
      </w:r>
      <w:r w:rsidR="00E4644C" w:rsidRPr="003874DE">
        <w:rPr>
          <w:szCs w:val="22"/>
        </w:rPr>
        <w:t xml:space="preserve"> that </w:t>
      </w:r>
      <w:r w:rsidR="001352B8" w:rsidRPr="003874DE">
        <w:rPr>
          <w:szCs w:val="22"/>
        </w:rPr>
        <w:t xml:space="preserve">compositional changes </w:t>
      </w:r>
      <w:r w:rsidR="00BF3A8E" w:rsidRPr="003874DE">
        <w:rPr>
          <w:szCs w:val="22"/>
        </w:rPr>
        <w:t>(</w:t>
      </w:r>
      <w:r w:rsidR="00116ED7" w:rsidRPr="003874DE">
        <w:rPr>
          <w:szCs w:val="22"/>
        </w:rPr>
        <w:t>e.g.</w:t>
      </w:r>
      <w:r w:rsidR="00BF3A8E" w:rsidRPr="003874DE">
        <w:rPr>
          <w:szCs w:val="22"/>
        </w:rPr>
        <w:t xml:space="preserve"> the introduction of jobs that cost less </w:t>
      </w:r>
      <w:r w:rsidR="00116ED7" w:rsidRPr="003874DE">
        <w:rPr>
          <w:szCs w:val="22"/>
        </w:rPr>
        <w:t>because</w:t>
      </w:r>
      <w:r w:rsidR="00BF3A8E" w:rsidRPr="003874DE">
        <w:rPr>
          <w:szCs w:val="22"/>
        </w:rPr>
        <w:t xml:space="preserve"> they work fewer hours or are paid less per hour</w:t>
      </w:r>
      <w:r w:rsidR="00116ED7" w:rsidRPr="003874DE">
        <w:rPr>
          <w:szCs w:val="22"/>
        </w:rPr>
        <w:t>) ha</w:t>
      </w:r>
      <w:r w:rsidR="00185A7A">
        <w:rPr>
          <w:szCs w:val="22"/>
        </w:rPr>
        <w:t>d</w:t>
      </w:r>
      <w:r w:rsidR="00F23508" w:rsidRPr="003874DE">
        <w:rPr>
          <w:szCs w:val="22"/>
        </w:rPr>
        <w:t xml:space="preserve"> </w:t>
      </w:r>
      <w:r w:rsidR="001352B8" w:rsidRPr="003874DE">
        <w:rPr>
          <w:szCs w:val="22"/>
        </w:rPr>
        <w:t>depress</w:t>
      </w:r>
      <w:r w:rsidR="00185A7A">
        <w:rPr>
          <w:szCs w:val="22"/>
        </w:rPr>
        <w:t>ed</w:t>
      </w:r>
      <w:r w:rsidR="001352B8" w:rsidRPr="003874DE">
        <w:rPr>
          <w:szCs w:val="22"/>
        </w:rPr>
        <w:t xml:space="preserve"> </w:t>
      </w:r>
      <w:r w:rsidR="00E4644C" w:rsidRPr="003874DE">
        <w:rPr>
          <w:szCs w:val="22"/>
        </w:rPr>
        <w:t xml:space="preserve">the </w:t>
      </w:r>
      <w:r w:rsidR="001352B8" w:rsidRPr="003874DE">
        <w:rPr>
          <w:szCs w:val="22"/>
        </w:rPr>
        <w:t xml:space="preserve">headline AWE figures by about </w:t>
      </w:r>
      <w:r w:rsidR="00BF3A8E" w:rsidRPr="003874DE">
        <w:rPr>
          <w:szCs w:val="22"/>
        </w:rPr>
        <w:t>0.4/</w:t>
      </w:r>
      <w:r w:rsidR="001352B8" w:rsidRPr="003874DE">
        <w:rPr>
          <w:szCs w:val="22"/>
        </w:rPr>
        <w:t>0.5 per c</w:t>
      </w:r>
      <w:r w:rsidR="00F23508" w:rsidRPr="003874DE">
        <w:rPr>
          <w:szCs w:val="22"/>
        </w:rPr>
        <w:t>e</w:t>
      </w:r>
      <w:r w:rsidR="001352B8" w:rsidRPr="003874DE">
        <w:rPr>
          <w:szCs w:val="22"/>
        </w:rPr>
        <w:t xml:space="preserve">nt </w:t>
      </w:r>
    </w:p>
    <w:p w:rsidR="00A82BEF" w:rsidRPr="003874DE" w:rsidRDefault="00CF4032" w:rsidP="003874DE">
      <w:pPr>
        <w:pStyle w:val="T5TextBody"/>
        <w:spacing w:line="276" w:lineRule="auto"/>
        <w:rPr>
          <w:szCs w:val="22"/>
        </w:rPr>
      </w:pPr>
      <w:r w:rsidRPr="003874DE">
        <w:rPr>
          <w:szCs w:val="22"/>
        </w:rPr>
        <w:t xml:space="preserve">The </w:t>
      </w:r>
      <w:r w:rsidR="008A0928" w:rsidRPr="003874DE">
        <w:rPr>
          <w:szCs w:val="22"/>
        </w:rPr>
        <w:t>Bank</w:t>
      </w:r>
      <w:r w:rsidRPr="003874DE">
        <w:rPr>
          <w:szCs w:val="22"/>
        </w:rPr>
        <w:t xml:space="preserve"> of </w:t>
      </w:r>
      <w:r w:rsidR="008A0928" w:rsidRPr="003874DE">
        <w:rPr>
          <w:szCs w:val="22"/>
        </w:rPr>
        <w:t>England</w:t>
      </w:r>
      <w:r w:rsidRPr="003874DE">
        <w:rPr>
          <w:szCs w:val="22"/>
        </w:rPr>
        <w:t xml:space="preserve"> </w:t>
      </w:r>
      <w:r w:rsidR="008A0928" w:rsidRPr="003874DE">
        <w:rPr>
          <w:szCs w:val="22"/>
        </w:rPr>
        <w:t>concurs</w:t>
      </w:r>
      <w:r w:rsidRPr="003874DE">
        <w:rPr>
          <w:szCs w:val="22"/>
        </w:rPr>
        <w:t xml:space="preserve"> with this </w:t>
      </w:r>
      <w:r w:rsidR="008A0928" w:rsidRPr="003874DE">
        <w:rPr>
          <w:szCs w:val="22"/>
        </w:rPr>
        <w:t>analysis</w:t>
      </w:r>
      <w:r w:rsidRPr="003874DE">
        <w:rPr>
          <w:szCs w:val="22"/>
        </w:rPr>
        <w:t xml:space="preserve">, saying </w:t>
      </w:r>
      <w:r w:rsidR="008A0928" w:rsidRPr="003874DE">
        <w:rPr>
          <w:szCs w:val="22"/>
        </w:rPr>
        <w:t>that</w:t>
      </w:r>
      <w:r w:rsidR="00A82BEF" w:rsidRPr="003874DE">
        <w:rPr>
          <w:szCs w:val="22"/>
        </w:rPr>
        <w:t>:</w:t>
      </w:r>
    </w:p>
    <w:p w:rsidR="00CF4032" w:rsidRPr="002B25E5" w:rsidRDefault="00A82BEF" w:rsidP="00A82BEF">
      <w:pPr>
        <w:widowControl/>
        <w:autoSpaceDE w:val="0"/>
        <w:autoSpaceDN w:val="0"/>
        <w:adjustRightInd w:val="0"/>
        <w:spacing w:line="276" w:lineRule="auto"/>
        <w:rPr>
          <w:rFonts w:ascii="Sabon" w:hAnsi="Sabon"/>
          <w:i/>
          <w:color w:val="1F497D"/>
          <w:sz w:val="22"/>
          <w:szCs w:val="22"/>
        </w:rPr>
      </w:pPr>
      <w:r w:rsidRPr="002B25E5">
        <w:rPr>
          <w:rFonts w:ascii="Sabon" w:hAnsi="Sabon" w:cs="Bliss2-Light"/>
          <w:i/>
          <w:snapToGrid/>
          <w:color w:val="231F20"/>
          <w:sz w:val="22"/>
          <w:szCs w:val="22"/>
          <w:lang w:eastAsia="en-GB"/>
        </w:rPr>
        <w:t>“During late 2013 and early 2014, compositional effects were bearing down on AWE growth. In other words, increases in employment in sectors with a lower average wage rates masked higher pay within sectors. More generally, changes in the skill and tenure mix of employment may be reducing annual wage growth by around ½ percentage point</w:t>
      </w:r>
      <w:r w:rsidR="00CF4032" w:rsidRPr="002B25E5">
        <w:rPr>
          <w:rFonts w:ascii="Sabon" w:hAnsi="Sabon"/>
          <w:i/>
          <w:color w:val="1F497D"/>
          <w:sz w:val="22"/>
          <w:szCs w:val="22"/>
        </w:rPr>
        <w:t>.</w:t>
      </w:r>
      <w:r w:rsidR="00CF4032" w:rsidRPr="002B25E5">
        <w:rPr>
          <w:rStyle w:val="FootnoteReference"/>
          <w:rFonts w:ascii="Sabon" w:hAnsi="Sabon"/>
          <w:i/>
          <w:color w:val="1F497D"/>
          <w:sz w:val="22"/>
          <w:szCs w:val="22"/>
        </w:rPr>
        <w:footnoteReference w:id="9"/>
      </w:r>
      <w:r w:rsidR="008A0928" w:rsidRPr="002B25E5">
        <w:rPr>
          <w:rFonts w:ascii="Sabon" w:hAnsi="Sabon"/>
          <w:i/>
          <w:color w:val="1F497D"/>
          <w:sz w:val="22"/>
          <w:szCs w:val="22"/>
        </w:rPr>
        <w:t>”</w:t>
      </w:r>
    </w:p>
    <w:p w:rsidR="00A82BEF" w:rsidRPr="00A82BEF" w:rsidRDefault="00A82BEF" w:rsidP="00A82BEF">
      <w:pPr>
        <w:widowControl/>
        <w:autoSpaceDE w:val="0"/>
        <w:autoSpaceDN w:val="0"/>
        <w:adjustRightInd w:val="0"/>
        <w:spacing w:line="276" w:lineRule="auto"/>
        <w:rPr>
          <w:rFonts w:ascii="Sabon" w:hAnsi="Sabon"/>
          <w:sz w:val="22"/>
          <w:szCs w:val="22"/>
        </w:rPr>
      </w:pPr>
    </w:p>
    <w:p w:rsidR="00F23508" w:rsidRDefault="00265F50" w:rsidP="003874DE">
      <w:pPr>
        <w:pStyle w:val="T5TextBody"/>
        <w:spacing w:line="276" w:lineRule="auto"/>
      </w:pPr>
      <w:r>
        <w:t>Meanwhile</w:t>
      </w:r>
      <w:r w:rsidR="00F23508">
        <w:t>, th</w:t>
      </w:r>
      <w:r w:rsidR="00185A7A">
        <w:t>re</w:t>
      </w:r>
      <w:r w:rsidR="00F23508">
        <w:t xml:space="preserve">e </w:t>
      </w:r>
      <w:r w:rsidR="00185A7A">
        <w:t xml:space="preserve">out of the </w:t>
      </w:r>
      <w:r w:rsidR="00F23508">
        <w:t xml:space="preserve">four </w:t>
      </w:r>
      <w:r>
        <w:t>independent</w:t>
      </w:r>
      <w:r w:rsidR="00F23508">
        <w:t xml:space="preserve"> pay indices are reporting average </w:t>
      </w:r>
      <w:r>
        <w:t>settlements</w:t>
      </w:r>
      <w:r w:rsidR="00F23508">
        <w:t xml:space="preserve"> of around 2.5 per </w:t>
      </w:r>
      <w:r>
        <w:t>cent</w:t>
      </w:r>
      <w:r w:rsidR="00F23508">
        <w:t>.</w:t>
      </w:r>
    </w:p>
    <w:p w:rsidR="005B4F6E" w:rsidRDefault="005B4F6E" w:rsidP="003874DE">
      <w:pPr>
        <w:pStyle w:val="T5TextBody"/>
        <w:spacing w:line="276" w:lineRule="auto"/>
      </w:pPr>
      <w:r>
        <w:t xml:space="preserve">For most of the last century, average earnings have </w:t>
      </w:r>
      <w:r w:rsidR="003874DE">
        <w:t>outstripped</w:t>
      </w:r>
      <w:r>
        <w:t xml:space="preserve"> </w:t>
      </w:r>
      <w:r w:rsidR="003874DE">
        <w:t>settlements</w:t>
      </w:r>
      <w:r w:rsidR="00185A7A">
        <w:t xml:space="preserve">. Real wages growth has resulted </w:t>
      </w:r>
      <w:r w:rsidR="00441B2B">
        <w:t>in people</w:t>
      </w:r>
      <w:r w:rsidR="00185A7A">
        <w:t xml:space="preserve"> in the early </w:t>
      </w:r>
      <w:r w:rsidR="00441B2B">
        <w:t>twenty-first</w:t>
      </w:r>
      <w:r w:rsidR="00185A7A">
        <w:t xml:space="preserve"> century being better off than </w:t>
      </w:r>
      <w:r w:rsidR="00441B2B">
        <w:t>their</w:t>
      </w:r>
      <w:r w:rsidR="00185A7A">
        <w:t xml:space="preserve"> great </w:t>
      </w:r>
      <w:r w:rsidR="00441B2B">
        <w:t>grandparents</w:t>
      </w:r>
      <w:r w:rsidR="00185A7A">
        <w:t>. However, this factor, which we have taken for garneted until recently</w:t>
      </w:r>
      <w:r w:rsidR="00441B2B">
        <w:t>, has</w:t>
      </w:r>
      <w:r w:rsidR="00185A7A">
        <w:t xml:space="preserve"> been </w:t>
      </w:r>
      <w:r>
        <w:t>overt-</w:t>
      </w:r>
      <w:r w:rsidR="003874DE">
        <w:t>turned</w:t>
      </w:r>
      <w:r>
        <w:t xml:space="preserve"> </w:t>
      </w:r>
      <w:r w:rsidR="00185A7A">
        <w:t>since</w:t>
      </w:r>
      <w:r>
        <w:t xml:space="preserve"> 2009. </w:t>
      </w:r>
      <w:r w:rsidR="003874DE">
        <w:t xml:space="preserve">A forthcoming TUC-commissioned report, undertaken by IDS, will look at how this happened. It seems likely that the growth in involuntary part-time work and underemployment will have been a significant effect. Disproportionate jobs growth in low paying sectors </w:t>
      </w:r>
      <w:r w:rsidR="0048264B">
        <w:t xml:space="preserve">has </w:t>
      </w:r>
      <w:r w:rsidR="003874DE">
        <w:t>also be</w:t>
      </w:r>
      <w:r w:rsidR="0048264B">
        <w:t>en</w:t>
      </w:r>
      <w:r w:rsidR="003874DE">
        <w:t xml:space="preserve"> a factor. </w:t>
      </w:r>
    </w:p>
    <w:p w:rsidR="003874DE" w:rsidRDefault="00441B2B" w:rsidP="003874DE">
      <w:pPr>
        <w:pStyle w:val="T5TextBody"/>
        <w:spacing w:line="276" w:lineRule="auto"/>
      </w:pPr>
      <w:r>
        <w:t>Real pay growth will have to return and we will need to feel better off if the economy is to grow. In fact, i</w:t>
      </w:r>
      <w:r w:rsidR="003874DE">
        <w:t xml:space="preserve">t seems very likely that </w:t>
      </w:r>
      <w:r w:rsidR="0048264B">
        <w:t xml:space="preserve">as the recovery continues </w:t>
      </w:r>
      <w:r w:rsidR="003874DE">
        <w:t xml:space="preserve">these factors will be alleviated. The speed of the recovery should eat into underemployment quite rapidly now, whilst rising investment would also be likely to help to create a better mix of jobs by pay. </w:t>
      </w:r>
      <w:r w:rsidR="0048264B">
        <w:t xml:space="preserve">It also points to the need for the LPC to ensure that it does not draw firm conclusions about trends in changes in actual pay rates from </w:t>
      </w:r>
      <w:r>
        <w:t xml:space="preserve">recent </w:t>
      </w:r>
      <w:r w:rsidR="0048264B">
        <w:t xml:space="preserve">aggregate trends in AWE. </w:t>
      </w:r>
    </w:p>
    <w:p w:rsidR="00F23508" w:rsidRPr="00F23508" w:rsidRDefault="00E4644C" w:rsidP="003874DE">
      <w:pPr>
        <w:pStyle w:val="T5TextBody"/>
        <w:spacing w:line="276" w:lineRule="auto"/>
        <w:rPr>
          <w:b/>
        </w:rPr>
      </w:pPr>
      <w:r>
        <w:rPr>
          <w:b/>
        </w:rPr>
        <w:t>L</w:t>
      </w:r>
      <w:r w:rsidR="00F23508" w:rsidRPr="00F23508">
        <w:rPr>
          <w:b/>
        </w:rPr>
        <w:t xml:space="preserve">ow paying sectors </w:t>
      </w:r>
    </w:p>
    <w:p w:rsidR="002916E8" w:rsidRDefault="00F23508" w:rsidP="003874DE">
      <w:pPr>
        <w:pStyle w:val="T5TextBody"/>
        <w:spacing w:line="276" w:lineRule="auto"/>
      </w:pPr>
      <w:r>
        <w:t xml:space="preserve">The </w:t>
      </w:r>
      <w:r w:rsidR="0048264B">
        <w:t>C</w:t>
      </w:r>
      <w:r>
        <w:t xml:space="preserve">ommission will always want to check that the </w:t>
      </w:r>
      <w:r w:rsidR="00265F50">
        <w:t>low</w:t>
      </w:r>
      <w:r>
        <w:t xml:space="preserve"> paying sectors have not been negatively </w:t>
      </w:r>
      <w:r w:rsidR="00265F50">
        <w:t>affected</w:t>
      </w:r>
      <w:r>
        <w:t xml:space="preserve"> by the </w:t>
      </w:r>
      <w:r w:rsidR="00265F50">
        <w:t>minimum</w:t>
      </w:r>
      <w:r>
        <w:t xml:space="preserve"> wage. </w:t>
      </w:r>
      <w:r w:rsidR="00441B2B">
        <w:t>However, t</w:t>
      </w:r>
      <w:r w:rsidR="0048264B">
        <w:t xml:space="preserve">his </w:t>
      </w:r>
      <w:r w:rsidR="00265F50">
        <w:t xml:space="preserve">check always has to be weighed against </w:t>
      </w:r>
      <w:r w:rsidR="0048264B">
        <w:t xml:space="preserve">a </w:t>
      </w:r>
      <w:r w:rsidR="00265F50">
        <w:t xml:space="preserve">strong desire that more people should be employed in well-paid jobs, which implies that </w:t>
      </w:r>
      <w:r w:rsidR="00265F50" w:rsidRPr="00F23508">
        <w:rPr>
          <w:i/>
        </w:rPr>
        <w:t>fewer</w:t>
      </w:r>
      <w:r w:rsidR="00265F50">
        <w:t xml:space="preserve"> people should be employed in minimum wage jobs</w:t>
      </w:r>
      <w:r w:rsidR="00DF712A">
        <w:t>.</w:t>
      </w:r>
      <w:r w:rsidR="00265F50">
        <w:t xml:space="preserve"> </w:t>
      </w:r>
    </w:p>
    <w:p w:rsidR="003874DE" w:rsidRDefault="002916E8" w:rsidP="003874DE">
      <w:pPr>
        <w:pStyle w:val="T5TextBody"/>
        <w:spacing w:line="276" w:lineRule="auto"/>
      </w:pPr>
      <w:r>
        <w:t xml:space="preserve">But in </w:t>
      </w:r>
      <w:r w:rsidR="00F23508">
        <w:t xml:space="preserve">fact, at the moment the low </w:t>
      </w:r>
      <w:r w:rsidR="00265F50">
        <w:t>paying</w:t>
      </w:r>
      <w:r w:rsidR="00F23508">
        <w:t xml:space="preserve"> sectors </w:t>
      </w:r>
      <w:r w:rsidR="0048264B">
        <w:t>are</w:t>
      </w:r>
      <w:r w:rsidR="00F23508">
        <w:t xml:space="preserve"> doing rather well.</w:t>
      </w:r>
      <w:r w:rsidRPr="002916E8">
        <w:t xml:space="preserve"> </w:t>
      </w:r>
      <w:r>
        <w:t xml:space="preserve">The table below shows that the </w:t>
      </w:r>
      <w:r w:rsidR="00545942">
        <w:t>number</w:t>
      </w:r>
      <w:r w:rsidR="00882789">
        <w:t xml:space="preserve"> of employees in </w:t>
      </w:r>
      <w:r>
        <w:t xml:space="preserve"> the low paying sectors as a whole </w:t>
      </w:r>
      <w:r w:rsidR="00545942">
        <w:t>outstripped</w:t>
      </w:r>
      <w:r w:rsidR="00882789">
        <w:t xml:space="preserve"> jobs growth in the whole economy, as the AWE figures might lead us to expect</w:t>
      </w:r>
      <w:r w:rsidR="0048264B">
        <w:t xml:space="preserve"> (as a result of the impact that compositional factors have on the series, as discussed above)</w:t>
      </w:r>
      <w:r w:rsidR="00882789">
        <w:t xml:space="preserve">. </w:t>
      </w:r>
      <w:r>
        <w:t xml:space="preserve">There has been strong employee jobs growth in both cases, with </w:t>
      </w:r>
      <w:r w:rsidR="00545942">
        <w:t>the employee</w:t>
      </w:r>
      <w:r w:rsidR="00882789">
        <w:t xml:space="preserve"> </w:t>
      </w:r>
      <w:r>
        <w:t xml:space="preserve">workforce as a whole growing by </w:t>
      </w:r>
      <w:r w:rsidR="00882789">
        <w:t>1</w:t>
      </w:r>
      <w:r>
        <w:t>.</w:t>
      </w:r>
      <w:r w:rsidR="00882789">
        <w:t>5</w:t>
      </w:r>
      <w:r>
        <w:t xml:space="preserve"> per cent and the low paying sectors growing </w:t>
      </w:r>
      <w:r w:rsidR="00882789">
        <w:t>fast</w:t>
      </w:r>
      <w:r w:rsidR="00441B2B">
        <w:t>er</w:t>
      </w:r>
      <w:r w:rsidR="00882789">
        <w:t xml:space="preserve"> </w:t>
      </w:r>
      <w:r w:rsidR="0048264B">
        <w:t xml:space="preserve">at </w:t>
      </w:r>
      <w:r>
        <w:t xml:space="preserve">2.5 per cent. </w:t>
      </w:r>
    </w:p>
    <w:p w:rsidR="003874DE" w:rsidRPr="00A1347C" w:rsidRDefault="003874DE" w:rsidP="003874DE">
      <w:pPr>
        <w:pStyle w:val="T5TextBody"/>
        <w:spacing w:line="276" w:lineRule="auto"/>
        <w:rPr>
          <w:szCs w:val="22"/>
        </w:rPr>
      </w:pPr>
      <w:r w:rsidRPr="00A1347C">
        <w:rPr>
          <w:szCs w:val="22"/>
        </w:rPr>
        <w:t>Agriculture, food processing and building services all saw increases in the number of employees that topped 10 per cent on the LFS main jobs measure, whilst the number of hospitality employees increased by 89,000 (8.9 per cent</w:t>
      </w:r>
      <w:r w:rsidR="0048264B" w:rsidRPr="00A1347C">
        <w:rPr>
          <w:szCs w:val="22"/>
        </w:rPr>
        <w:t>)</w:t>
      </w:r>
      <w:r w:rsidR="0048264B">
        <w:rPr>
          <w:szCs w:val="22"/>
        </w:rPr>
        <w:t>.</w:t>
      </w:r>
      <w:r w:rsidR="0048264B" w:rsidRPr="00A1347C">
        <w:rPr>
          <w:szCs w:val="22"/>
        </w:rPr>
        <w:t xml:space="preserve"> </w:t>
      </w:r>
    </w:p>
    <w:p w:rsidR="003874DE" w:rsidRPr="00A1347C" w:rsidRDefault="003874DE" w:rsidP="003874DE">
      <w:pPr>
        <w:pStyle w:val="T5TextBody"/>
        <w:spacing w:line="276" w:lineRule="auto"/>
        <w:rPr>
          <w:szCs w:val="22"/>
        </w:rPr>
      </w:pPr>
      <w:r w:rsidRPr="00A1347C">
        <w:rPr>
          <w:szCs w:val="22"/>
        </w:rPr>
        <w:t>In short, employment in the low paying sectors overall has continued to grow very strongly. There are certainly no signs that the minimum wage is constraining the creation of low paid jobs. Indeed, the TUC is more concerned at the moment that too many of the jobs being created are</w:t>
      </w:r>
      <w:r w:rsidR="0048264B">
        <w:rPr>
          <w:szCs w:val="22"/>
        </w:rPr>
        <w:t xml:space="preserve"> in</w:t>
      </w:r>
      <w:r w:rsidRPr="00A1347C">
        <w:rPr>
          <w:szCs w:val="22"/>
        </w:rPr>
        <w:t xml:space="preserve"> low paid</w:t>
      </w:r>
      <w:r w:rsidR="0048264B">
        <w:rPr>
          <w:szCs w:val="22"/>
        </w:rPr>
        <w:t xml:space="preserve"> sectors</w:t>
      </w:r>
      <w:r w:rsidRPr="00A1347C">
        <w:rPr>
          <w:szCs w:val="22"/>
        </w:rPr>
        <w:t>.</w:t>
      </w:r>
    </w:p>
    <w:p w:rsidR="003874DE" w:rsidRDefault="003874DE" w:rsidP="003874DE">
      <w:pPr>
        <w:pStyle w:val="T5TextBody"/>
        <w:spacing w:line="276" w:lineRule="auto"/>
        <w:rPr>
          <w:szCs w:val="22"/>
        </w:rPr>
      </w:pPr>
      <w:r w:rsidRPr="00A1347C">
        <w:rPr>
          <w:szCs w:val="22"/>
        </w:rPr>
        <w:t xml:space="preserve">Although the overall </w:t>
      </w:r>
      <w:r w:rsidR="0048264B">
        <w:rPr>
          <w:szCs w:val="22"/>
        </w:rPr>
        <w:t xml:space="preserve">jobs </w:t>
      </w:r>
      <w:r w:rsidRPr="00A1347C">
        <w:rPr>
          <w:szCs w:val="22"/>
        </w:rPr>
        <w:t xml:space="preserve">picture is very good, it is </w:t>
      </w:r>
      <w:r w:rsidR="00441B2B">
        <w:rPr>
          <w:szCs w:val="22"/>
        </w:rPr>
        <w:t xml:space="preserve">also </w:t>
      </w:r>
      <w:r w:rsidRPr="00A1347C">
        <w:rPr>
          <w:szCs w:val="22"/>
        </w:rPr>
        <w:t xml:space="preserve">worth considering the low paid sectors where employment growth has been weaker during the past year. </w:t>
      </w:r>
      <w:r w:rsidRPr="00A1347C">
        <w:rPr>
          <w:szCs w:val="22"/>
        </w:rPr>
        <w:lastRenderedPageBreak/>
        <w:t xml:space="preserve">There are a range of explanations </w:t>
      </w:r>
      <w:r w:rsidR="0048264B">
        <w:rPr>
          <w:szCs w:val="22"/>
        </w:rPr>
        <w:t>why</w:t>
      </w:r>
      <w:r w:rsidR="0048264B" w:rsidRPr="00A1347C">
        <w:rPr>
          <w:szCs w:val="22"/>
        </w:rPr>
        <w:t xml:space="preserve"> </w:t>
      </w:r>
      <w:r w:rsidRPr="00A1347C">
        <w:rPr>
          <w:szCs w:val="22"/>
        </w:rPr>
        <w:t>some sectors do better than others, but there are no signs that the national minimum wage has been a factor.</w:t>
      </w:r>
      <w:r w:rsidRPr="003874DE">
        <w:rPr>
          <w:szCs w:val="22"/>
        </w:rPr>
        <w:t xml:space="preserve"> </w:t>
      </w:r>
    </w:p>
    <w:p w:rsidR="003874DE" w:rsidRPr="00A1347C" w:rsidRDefault="003874DE" w:rsidP="003874DE">
      <w:pPr>
        <w:pStyle w:val="T5TextBody"/>
        <w:spacing w:line="276" w:lineRule="auto"/>
        <w:rPr>
          <w:szCs w:val="22"/>
        </w:rPr>
      </w:pPr>
      <w:r w:rsidRPr="00A1347C">
        <w:rPr>
          <w:szCs w:val="22"/>
        </w:rPr>
        <w:t xml:space="preserve">We note that textile and clothing manufacture has been in long-run decline in the UK. The industry is now largely focused on high-end production, and employment numbers have fluctuated from year to year. </w:t>
      </w:r>
    </w:p>
    <w:p w:rsidR="003874DE" w:rsidRPr="00A1347C" w:rsidRDefault="003874DE" w:rsidP="003874DE">
      <w:pPr>
        <w:pStyle w:val="T5TextBody"/>
        <w:spacing w:line="276" w:lineRule="auto"/>
        <w:rPr>
          <w:szCs w:val="22"/>
        </w:rPr>
      </w:pPr>
      <w:r w:rsidRPr="00A1347C">
        <w:rPr>
          <w:szCs w:val="22"/>
        </w:rPr>
        <w:t xml:space="preserve">The recruitment </w:t>
      </w:r>
      <w:r w:rsidR="003712C5">
        <w:rPr>
          <w:szCs w:val="22"/>
        </w:rPr>
        <w:t>industry</w:t>
      </w:r>
      <w:r w:rsidRPr="00A1347C">
        <w:rPr>
          <w:szCs w:val="22"/>
        </w:rPr>
        <w:t xml:space="preserve"> is another area where employment has seen a small fall.  There are strong signs that the recruitment industry will soon bounce back, as financial turnover has turned up sharply from January 2014 onwards. Indeed, REC reports that their affiliates have now enjoyed a median increase in turnover of 13.6 per cent in the past financial year</w:t>
      </w:r>
      <w:r w:rsidRPr="00A1347C">
        <w:rPr>
          <w:rStyle w:val="FootnoteReference"/>
          <w:sz w:val="22"/>
          <w:szCs w:val="22"/>
        </w:rPr>
        <w:footnoteReference w:id="10"/>
      </w:r>
      <w:r w:rsidRPr="00A1347C">
        <w:rPr>
          <w:szCs w:val="22"/>
        </w:rPr>
        <w:t>.</w:t>
      </w:r>
      <w:r w:rsidR="0048264B">
        <w:rPr>
          <w:szCs w:val="22"/>
        </w:rPr>
        <w:t xml:space="preserve"> A reduction in demand for temporary staff can also be a sign of a strengthening recovery. </w:t>
      </w:r>
    </w:p>
    <w:p w:rsidR="0048264B" w:rsidRPr="003874DE" w:rsidRDefault="0048264B" w:rsidP="0048264B">
      <w:pPr>
        <w:pStyle w:val="T5TextBody"/>
        <w:spacing w:line="276" w:lineRule="auto"/>
        <w:rPr>
          <w:rStyle w:val="Strong"/>
          <w:b w:val="0"/>
          <w:szCs w:val="22"/>
        </w:rPr>
      </w:pPr>
      <w:r w:rsidRPr="003874DE">
        <w:rPr>
          <w:szCs w:val="22"/>
        </w:rPr>
        <w:t xml:space="preserve">The </w:t>
      </w:r>
      <w:r w:rsidRPr="003874DE">
        <w:rPr>
          <w:rFonts w:cs="Arial"/>
          <w:color w:val="000000"/>
          <w:szCs w:val="22"/>
        </w:rPr>
        <w:t>quantity sold by the retail industry increased by 3.6% compared with last year, but discounting in pursuit of market share has meant that the average real price has remained the same</w:t>
      </w:r>
      <w:r w:rsidRPr="003874DE">
        <w:rPr>
          <w:rStyle w:val="FootnoteReference"/>
          <w:rFonts w:cs="Arial"/>
          <w:color w:val="000000"/>
          <w:sz w:val="22"/>
          <w:szCs w:val="22"/>
        </w:rPr>
        <w:footnoteReference w:id="11"/>
      </w:r>
      <w:r w:rsidRPr="003874DE">
        <w:rPr>
          <w:rFonts w:cs="Arial"/>
          <w:color w:val="000000"/>
          <w:szCs w:val="22"/>
        </w:rPr>
        <w:t>.</w:t>
      </w:r>
      <w:r w:rsidRPr="003874DE">
        <w:rPr>
          <w:szCs w:val="22"/>
        </w:rPr>
        <w:t xml:space="preserve"> There is no doubt that the retail market is changing, with t</w:t>
      </w:r>
      <w:r w:rsidRPr="003874DE">
        <w:rPr>
          <w:rFonts w:cs="Arial"/>
          <w:color w:val="000000"/>
          <w:szCs w:val="22"/>
        </w:rPr>
        <w:t xml:space="preserve">he amount spent online </w:t>
      </w:r>
      <w:r>
        <w:rPr>
          <w:rFonts w:cs="Arial"/>
          <w:color w:val="000000"/>
          <w:szCs w:val="22"/>
        </w:rPr>
        <w:t>increasing</w:t>
      </w:r>
      <w:r w:rsidRPr="003874DE">
        <w:rPr>
          <w:rFonts w:cs="Arial"/>
          <w:color w:val="000000"/>
          <w:szCs w:val="22"/>
        </w:rPr>
        <w:t xml:space="preserve"> by 13.4% in June 2014 compared with June 2013</w:t>
      </w:r>
      <w:r w:rsidRPr="003874DE">
        <w:rPr>
          <w:rStyle w:val="FootnoteReference"/>
          <w:rFonts w:cs="Arial"/>
          <w:color w:val="000000"/>
          <w:sz w:val="22"/>
          <w:szCs w:val="22"/>
        </w:rPr>
        <w:footnoteReference w:id="12"/>
      </w:r>
      <w:r w:rsidRPr="003874DE">
        <w:rPr>
          <w:rFonts w:cs="Arial"/>
          <w:color w:val="000000"/>
          <w:szCs w:val="22"/>
        </w:rPr>
        <w:t xml:space="preserve"> and structural shifts therefore leading to reductions in retail staff with commensurate or stronger rises in warehousing and distribution employment. There has also been some use of new technology as a substitute for labour by certain chains, most visibly in the form of more self-service tills in busy city stores. This follows on from the earlier computerisation of stock control, which allowed stores to operate with lower inventory. However, retail sales are also obviously particularly susceptible to squeezed incomes, and the revival of real pay growth should quickly </w:t>
      </w:r>
      <w:r>
        <w:rPr>
          <w:rFonts w:cs="Arial"/>
          <w:color w:val="000000"/>
          <w:szCs w:val="22"/>
        </w:rPr>
        <w:t>improve</w:t>
      </w:r>
      <w:r w:rsidRPr="003874DE">
        <w:rPr>
          <w:rFonts w:cs="Arial"/>
          <w:color w:val="000000"/>
          <w:szCs w:val="22"/>
        </w:rPr>
        <w:t xml:space="preserve"> sales. The Centre for Retail Research makes the following </w:t>
      </w:r>
      <w:r w:rsidRPr="003874DE">
        <w:rPr>
          <w:rStyle w:val="Strong"/>
          <w:b w:val="0"/>
          <w:szCs w:val="22"/>
        </w:rPr>
        <w:t>forecast in terms of rising sales value: “2014 - 3.4%; and 2015 - 3.4% to 3.8%</w:t>
      </w:r>
      <w:r w:rsidRPr="003874DE">
        <w:rPr>
          <w:rStyle w:val="FootnoteReference"/>
          <w:bCs/>
          <w:sz w:val="22"/>
          <w:szCs w:val="22"/>
        </w:rPr>
        <w:footnoteReference w:id="13"/>
      </w:r>
      <w:r w:rsidRPr="003874DE">
        <w:rPr>
          <w:rStyle w:val="Strong"/>
          <w:b w:val="0"/>
          <w:szCs w:val="22"/>
        </w:rPr>
        <w:t xml:space="preserve">”, which is likely to lead to employment gains in the months and years ahead. </w:t>
      </w:r>
    </w:p>
    <w:p w:rsidR="0048264B" w:rsidRPr="003874DE" w:rsidRDefault="0048264B" w:rsidP="0048264B">
      <w:pPr>
        <w:pStyle w:val="T5TextBody"/>
        <w:spacing w:line="276" w:lineRule="auto"/>
        <w:rPr>
          <w:szCs w:val="22"/>
        </w:rPr>
      </w:pPr>
      <w:r w:rsidRPr="003874DE">
        <w:rPr>
          <w:rStyle w:val="Strong"/>
          <w:b w:val="0"/>
          <w:szCs w:val="22"/>
        </w:rPr>
        <w:t xml:space="preserve">In the case of hairdressing, numbers have fluctuated greatly in recent years. It seems possible that the UK may have simply reached saturation point </w:t>
      </w:r>
      <w:r>
        <w:rPr>
          <w:rStyle w:val="Strong"/>
          <w:b w:val="0"/>
          <w:szCs w:val="22"/>
        </w:rPr>
        <w:t>given current household spending power</w:t>
      </w:r>
      <w:r w:rsidRPr="003874DE">
        <w:rPr>
          <w:rStyle w:val="Strong"/>
          <w:b w:val="0"/>
          <w:szCs w:val="22"/>
        </w:rPr>
        <w:t>. There is currently about one hairdresser for every 120 working people in the UK, once self-employment is taken into account.  Employment in the industry currently outstrips predictions made seven years ago for 2021</w:t>
      </w:r>
      <w:r w:rsidRPr="003874DE">
        <w:rPr>
          <w:rStyle w:val="FootnoteReference"/>
          <w:bCs/>
          <w:sz w:val="22"/>
          <w:szCs w:val="22"/>
        </w:rPr>
        <w:footnoteReference w:id="14"/>
      </w:r>
      <w:r w:rsidRPr="003874DE">
        <w:rPr>
          <w:rStyle w:val="Strong"/>
          <w:b w:val="0"/>
          <w:szCs w:val="22"/>
        </w:rPr>
        <w:t xml:space="preserve">. In addition, it has been reported that the UK has been training more </w:t>
      </w:r>
      <w:r w:rsidRPr="003874DE">
        <w:rPr>
          <w:rStyle w:val="Strong"/>
          <w:b w:val="0"/>
          <w:szCs w:val="22"/>
        </w:rPr>
        <w:lastRenderedPageBreak/>
        <w:t xml:space="preserve">than </w:t>
      </w:r>
      <w:r>
        <w:rPr>
          <w:rStyle w:val="Strong"/>
          <w:b w:val="0"/>
          <w:szCs w:val="22"/>
        </w:rPr>
        <w:t>four</w:t>
      </w:r>
      <w:r w:rsidRPr="003874DE">
        <w:rPr>
          <w:rStyle w:val="Strong"/>
          <w:b w:val="0"/>
          <w:szCs w:val="22"/>
        </w:rPr>
        <w:t xml:space="preserve"> times as many hairdressers are there are vacancies</w:t>
      </w:r>
      <w:r w:rsidRPr="003874DE">
        <w:rPr>
          <w:rStyle w:val="FootnoteReference"/>
          <w:bCs/>
          <w:sz w:val="22"/>
          <w:szCs w:val="22"/>
        </w:rPr>
        <w:footnoteReference w:id="15"/>
      </w:r>
      <w:r w:rsidRPr="003874DE">
        <w:rPr>
          <w:rStyle w:val="Strong"/>
          <w:b w:val="0"/>
          <w:szCs w:val="22"/>
        </w:rPr>
        <w:t>. Nevertheless, market analysts think that economic recovery may lead to further growth in the high value end of the hair and beauty industry</w:t>
      </w:r>
      <w:r w:rsidRPr="003874DE">
        <w:rPr>
          <w:rStyle w:val="FootnoteReference"/>
          <w:bCs/>
          <w:sz w:val="22"/>
          <w:szCs w:val="22"/>
        </w:rPr>
        <w:footnoteReference w:id="16"/>
      </w:r>
      <w:r w:rsidRPr="003874DE">
        <w:rPr>
          <w:rStyle w:val="Strong"/>
          <w:b w:val="0"/>
          <w:szCs w:val="22"/>
        </w:rPr>
        <w:t>.</w:t>
      </w:r>
    </w:p>
    <w:p w:rsidR="002916E8" w:rsidRPr="000973C0" w:rsidRDefault="006C6E9C" w:rsidP="002916E8">
      <w:pPr>
        <w:pStyle w:val="T5TextBody"/>
        <w:rPr>
          <w:rFonts w:ascii="Frutiger 55" w:hAnsi="Frutiger 55"/>
          <w:b/>
          <w:i/>
        </w:rPr>
      </w:pPr>
      <w:r>
        <w:rPr>
          <w:rFonts w:ascii="Frutiger 55" w:hAnsi="Frutiger 55"/>
          <w:b/>
          <w:i/>
        </w:rPr>
        <w:t>UK</w:t>
      </w:r>
      <w:r w:rsidR="002916E8" w:rsidRPr="000973C0">
        <w:rPr>
          <w:rFonts w:ascii="Frutiger 55" w:hAnsi="Frutiger 55"/>
          <w:b/>
          <w:i/>
        </w:rPr>
        <w:t xml:space="preserve"> Employees in low paying industries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1471"/>
        <w:gridCol w:w="1578"/>
        <w:gridCol w:w="1412"/>
        <w:gridCol w:w="1190"/>
      </w:tblGrid>
      <w:tr w:rsidR="002916E8" w:rsidRPr="00C3702C" w:rsidTr="002916E8">
        <w:tc>
          <w:tcPr>
            <w:tcW w:w="2387" w:type="dxa"/>
          </w:tcPr>
          <w:p w:rsidR="002916E8" w:rsidRPr="00C3702C" w:rsidRDefault="002916E8" w:rsidP="002916E8">
            <w:pPr>
              <w:spacing w:after="140"/>
              <w:rPr>
                <w:rFonts w:ascii="Sabon" w:hAnsi="Sabon"/>
                <w:sz w:val="22"/>
                <w:szCs w:val="22"/>
              </w:rPr>
            </w:pPr>
            <w:r w:rsidRPr="00C3702C">
              <w:rPr>
                <w:rFonts w:ascii="Sabon" w:hAnsi="Sabon"/>
                <w:sz w:val="22"/>
                <w:szCs w:val="22"/>
              </w:rPr>
              <w:t xml:space="preserve">Industry </w:t>
            </w:r>
          </w:p>
        </w:tc>
        <w:tc>
          <w:tcPr>
            <w:tcW w:w="1471" w:type="dxa"/>
          </w:tcPr>
          <w:p w:rsidR="002916E8" w:rsidRPr="00C3702C" w:rsidRDefault="006C6E9C" w:rsidP="006C6E9C">
            <w:pPr>
              <w:spacing w:after="140"/>
              <w:rPr>
                <w:rFonts w:ascii="Sabon" w:hAnsi="Sabon"/>
                <w:sz w:val="22"/>
                <w:szCs w:val="22"/>
              </w:rPr>
            </w:pPr>
            <w:r>
              <w:rPr>
                <w:rFonts w:ascii="Sabon" w:hAnsi="Sabon"/>
                <w:sz w:val="22"/>
                <w:szCs w:val="22"/>
              </w:rPr>
              <w:t>Spring</w:t>
            </w:r>
            <w:r w:rsidR="002916E8" w:rsidRPr="00C3702C">
              <w:rPr>
                <w:rFonts w:ascii="Sabon" w:hAnsi="Sabon"/>
                <w:sz w:val="22"/>
                <w:szCs w:val="22"/>
              </w:rPr>
              <w:t xml:space="preserve"> 20</w:t>
            </w:r>
            <w:r w:rsidR="002916E8">
              <w:rPr>
                <w:rFonts w:ascii="Sabon" w:hAnsi="Sabon"/>
                <w:sz w:val="22"/>
                <w:szCs w:val="22"/>
              </w:rPr>
              <w:t>13</w:t>
            </w:r>
          </w:p>
        </w:tc>
        <w:tc>
          <w:tcPr>
            <w:tcW w:w="1578" w:type="dxa"/>
          </w:tcPr>
          <w:p w:rsidR="002916E8" w:rsidRPr="00C3702C" w:rsidRDefault="006C6E9C" w:rsidP="006C6E9C">
            <w:pPr>
              <w:spacing w:after="140"/>
              <w:rPr>
                <w:rFonts w:ascii="Sabon" w:hAnsi="Sabon"/>
                <w:sz w:val="22"/>
                <w:szCs w:val="22"/>
              </w:rPr>
            </w:pPr>
            <w:r>
              <w:rPr>
                <w:rFonts w:ascii="Sabon" w:hAnsi="Sabon"/>
                <w:sz w:val="22"/>
                <w:szCs w:val="22"/>
              </w:rPr>
              <w:t>Spring</w:t>
            </w:r>
            <w:r w:rsidR="002916E8" w:rsidRPr="00C3702C">
              <w:rPr>
                <w:rFonts w:ascii="Sabon" w:hAnsi="Sabon"/>
                <w:sz w:val="22"/>
                <w:szCs w:val="22"/>
              </w:rPr>
              <w:t xml:space="preserve"> 20</w:t>
            </w:r>
            <w:r w:rsidR="002916E8">
              <w:rPr>
                <w:rFonts w:ascii="Sabon" w:hAnsi="Sabon"/>
                <w:sz w:val="22"/>
                <w:szCs w:val="22"/>
              </w:rPr>
              <w:t>14</w:t>
            </w:r>
          </w:p>
        </w:tc>
        <w:tc>
          <w:tcPr>
            <w:tcW w:w="1412" w:type="dxa"/>
          </w:tcPr>
          <w:p w:rsidR="002916E8" w:rsidRPr="00C3702C" w:rsidRDefault="002916E8" w:rsidP="002916E8">
            <w:pPr>
              <w:spacing w:after="140"/>
              <w:rPr>
                <w:rFonts w:ascii="Sabon" w:hAnsi="Sabon"/>
                <w:sz w:val="22"/>
                <w:szCs w:val="22"/>
              </w:rPr>
            </w:pPr>
            <w:r w:rsidRPr="00C3702C">
              <w:rPr>
                <w:rFonts w:ascii="Sabon" w:hAnsi="Sabon"/>
                <w:sz w:val="22"/>
                <w:szCs w:val="22"/>
              </w:rPr>
              <w:t xml:space="preserve">Change </w:t>
            </w:r>
          </w:p>
        </w:tc>
        <w:tc>
          <w:tcPr>
            <w:tcW w:w="1190" w:type="dxa"/>
          </w:tcPr>
          <w:p w:rsidR="002916E8" w:rsidRPr="00C3702C" w:rsidRDefault="002916E8" w:rsidP="002916E8">
            <w:pPr>
              <w:spacing w:after="140"/>
              <w:rPr>
                <w:rFonts w:ascii="Sabon" w:hAnsi="Sabon"/>
                <w:sz w:val="22"/>
                <w:szCs w:val="22"/>
              </w:rPr>
            </w:pPr>
            <w:r>
              <w:rPr>
                <w:rFonts w:ascii="Sabon" w:hAnsi="Sabon"/>
                <w:sz w:val="22"/>
                <w:szCs w:val="22"/>
              </w:rPr>
              <w:t>Per cent change</w:t>
            </w:r>
          </w:p>
        </w:tc>
      </w:tr>
      <w:tr w:rsidR="002916E8" w:rsidRPr="00C3702C" w:rsidTr="002916E8">
        <w:tc>
          <w:tcPr>
            <w:tcW w:w="2387" w:type="dxa"/>
          </w:tcPr>
          <w:p w:rsidR="002916E8" w:rsidRPr="00C3702C" w:rsidRDefault="002916E8" w:rsidP="002916E8">
            <w:pPr>
              <w:spacing w:after="140"/>
              <w:rPr>
                <w:rFonts w:ascii="Sabon" w:hAnsi="Sabon"/>
                <w:sz w:val="22"/>
                <w:szCs w:val="22"/>
              </w:rPr>
            </w:pPr>
            <w:r w:rsidRPr="00C3702C">
              <w:rPr>
                <w:rFonts w:ascii="Sabon" w:hAnsi="Sabon"/>
                <w:sz w:val="22"/>
                <w:szCs w:val="22"/>
              </w:rPr>
              <w:t>Agriculture, hunting and forestry</w:t>
            </w:r>
          </w:p>
        </w:tc>
        <w:tc>
          <w:tcPr>
            <w:tcW w:w="1471" w:type="dxa"/>
          </w:tcPr>
          <w:p w:rsidR="002916E8" w:rsidRPr="00C3702C" w:rsidRDefault="006C6E9C" w:rsidP="006C6E9C">
            <w:pPr>
              <w:spacing w:after="140"/>
              <w:rPr>
                <w:rFonts w:ascii="Sabon" w:hAnsi="Sabon"/>
                <w:sz w:val="22"/>
                <w:szCs w:val="22"/>
              </w:rPr>
            </w:pPr>
            <w:r>
              <w:rPr>
                <w:rFonts w:ascii="Sabon" w:hAnsi="Sabon"/>
                <w:sz w:val="22"/>
                <w:szCs w:val="22"/>
              </w:rPr>
              <w:t>121</w:t>
            </w:r>
          </w:p>
        </w:tc>
        <w:tc>
          <w:tcPr>
            <w:tcW w:w="1578" w:type="dxa"/>
          </w:tcPr>
          <w:p w:rsidR="002916E8" w:rsidRPr="00C3702C" w:rsidRDefault="006C6E9C" w:rsidP="006C6E9C">
            <w:pPr>
              <w:spacing w:after="140"/>
              <w:rPr>
                <w:rFonts w:ascii="Sabon" w:hAnsi="Sabon"/>
                <w:sz w:val="22"/>
                <w:szCs w:val="22"/>
              </w:rPr>
            </w:pPr>
            <w:r>
              <w:rPr>
                <w:rFonts w:ascii="Sabon" w:hAnsi="Sabon"/>
                <w:sz w:val="22"/>
                <w:szCs w:val="22"/>
              </w:rPr>
              <w:t>146</w:t>
            </w:r>
          </w:p>
        </w:tc>
        <w:tc>
          <w:tcPr>
            <w:tcW w:w="1412" w:type="dxa"/>
          </w:tcPr>
          <w:p w:rsidR="002916E8" w:rsidRPr="0040402C" w:rsidRDefault="002916E8" w:rsidP="006C6E9C">
            <w:pPr>
              <w:spacing w:after="140"/>
              <w:rPr>
                <w:rFonts w:ascii="Sabon" w:hAnsi="Sabon"/>
                <w:sz w:val="22"/>
                <w:szCs w:val="22"/>
              </w:rPr>
            </w:pPr>
            <w:r>
              <w:rPr>
                <w:rFonts w:ascii="Sabon" w:hAnsi="Sabon"/>
                <w:sz w:val="22"/>
                <w:szCs w:val="22"/>
              </w:rPr>
              <w:t>+</w:t>
            </w:r>
            <w:r w:rsidR="006C6E9C">
              <w:rPr>
                <w:rFonts w:ascii="Sabon" w:hAnsi="Sabon"/>
                <w:sz w:val="22"/>
                <w:szCs w:val="22"/>
              </w:rPr>
              <w:t>25</w:t>
            </w:r>
          </w:p>
        </w:tc>
        <w:tc>
          <w:tcPr>
            <w:tcW w:w="1190" w:type="dxa"/>
          </w:tcPr>
          <w:p w:rsidR="002916E8" w:rsidRPr="002916E8" w:rsidRDefault="00C23B98" w:rsidP="00FC4D15">
            <w:pPr>
              <w:spacing w:after="140"/>
              <w:rPr>
                <w:rFonts w:ascii="Sabon" w:hAnsi="Sabon"/>
                <w:sz w:val="22"/>
                <w:szCs w:val="22"/>
              </w:rPr>
            </w:pPr>
            <w:r w:rsidRPr="00C23B98">
              <w:rPr>
                <w:rFonts w:ascii="Sabon" w:hAnsi="Sabon"/>
                <w:sz w:val="22"/>
                <w:szCs w:val="22"/>
              </w:rPr>
              <w:t>+</w:t>
            </w:r>
            <w:r w:rsidR="00FC4D15">
              <w:rPr>
                <w:rFonts w:ascii="Sabon" w:hAnsi="Sabon"/>
                <w:sz w:val="22"/>
                <w:szCs w:val="22"/>
              </w:rPr>
              <w:t>20.7</w:t>
            </w:r>
            <w:r w:rsidRPr="00C23B9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Pr>
                <w:rFonts w:ascii="Sabon" w:hAnsi="Sabon"/>
                <w:sz w:val="22"/>
                <w:szCs w:val="22"/>
              </w:rPr>
              <w:t>Primary food processing</w:t>
            </w:r>
          </w:p>
        </w:tc>
        <w:tc>
          <w:tcPr>
            <w:tcW w:w="1471" w:type="dxa"/>
          </w:tcPr>
          <w:p w:rsidR="002916E8" w:rsidRDefault="002916E8" w:rsidP="00FC4D15">
            <w:pPr>
              <w:spacing w:after="140"/>
              <w:rPr>
                <w:rFonts w:ascii="Sabon" w:hAnsi="Sabon"/>
                <w:sz w:val="22"/>
                <w:szCs w:val="22"/>
              </w:rPr>
            </w:pPr>
            <w:r>
              <w:rPr>
                <w:rFonts w:ascii="Sabon" w:hAnsi="Sabon"/>
                <w:sz w:val="22"/>
                <w:szCs w:val="22"/>
              </w:rPr>
              <w:t>11</w:t>
            </w:r>
            <w:r w:rsidR="00FC4D15">
              <w:rPr>
                <w:rFonts w:ascii="Sabon" w:hAnsi="Sabon"/>
                <w:sz w:val="22"/>
                <w:szCs w:val="22"/>
              </w:rPr>
              <w:t>9</w:t>
            </w:r>
          </w:p>
        </w:tc>
        <w:tc>
          <w:tcPr>
            <w:tcW w:w="1578" w:type="dxa"/>
          </w:tcPr>
          <w:p w:rsidR="002916E8" w:rsidRDefault="002916E8" w:rsidP="002916E8">
            <w:pPr>
              <w:spacing w:after="140"/>
              <w:rPr>
                <w:rFonts w:ascii="Sabon" w:hAnsi="Sabon"/>
                <w:sz w:val="22"/>
                <w:szCs w:val="22"/>
              </w:rPr>
            </w:pPr>
            <w:r>
              <w:rPr>
                <w:rFonts w:ascii="Sabon" w:hAnsi="Sabon"/>
                <w:sz w:val="22"/>
                <w:szCs w:val="22"/>
              </w:rPr>
              <w:t>133</w:t>
            </w:r>
          </w:p>
        </w:tc>
        <w:tc>
          <w:tcPr>
            <w:tcW w:w="1412" w:type="dxa"/>
          </w:tcPr>
          <w:p w:rsidR="002916E8" w:rsidRDefault="002916E8" w:rsidP="00FC4D15">
            <w:pPr>
              <w:spacing w:after="140"/>
              <w:rPr>
                <w:rFonts w:ascii="Sabon" w:hAnsi="Sabon"/>
                <w:sz w:val="22"/>
                <w:szCs w:val="22"/>
              </w:rPr>
            </w:pPr>
            <w:r>
              <w:rPr>
                <w:rFonts w:ascii="Sabon" w:hAnsi="Sabon"/>
                <w:sz w:val="22"/>
                <w:szCs w:val="22"/>
              </w:rPr>
              <w:t>+1</w:t>
            </w:r>
            <w:r w:rsidR="00FC4D15">
              <w:rPr>
                <w:rFonts w:ascii="Sabon" w:hAnsi="Sabon"/>
                <w:sz w:val="22"/>
                <w:szCs w:val="22"/>
              </w:rPr>
              <w:t>4</w:t>
            </w:r>
          </w:p>
        </w:tc>
        <w:tc>
          <w:tcPr>
            <w:tcW w:w="1190" w:type="dxa"/>
          </w:tcPr>
          <w:p w:rsidR="002916E8" w:rsidRPr="008A7E3F" w:rsidRDefault="002916E8" w:rsidP="00FC4D15">
            <w:pPr>
              <w:spacing w:after="140"/>
              <w:rPr>
                <w:rFonts w:ascii="Sabon" w:hAnsi="Sabon"/>
                <w:sz w:val="22"/>
                <w:szCs w:val="22"/>
              </w:rPr>
            </w:pPr>
            <w:r w:rsidRPr="008A7E3F">
              <w:rPr>
                <w:rFonts w:ascii="Sabon" w:hAnsi="Sabon"/>
                <w:sz w:val="22"/>
                <w:szCs w:val="22"/>
              </w:rPr>
              <w:t>+1</w:t>
            </w:r>
            <w:r w:rsidR="00FC4D15">
              <w:rPr>
                <w:rFonts w:ascii="Sabon" w:hAnsi="Sabon"/>
                <w:sz w:val="22"/>
                <w:szCs w:val="22"/>
              </w:rPr>
              <w:t>1.8</w:t>
            </w:r>
            <w:r w:rsidRPr="008A7E3F">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sidRPr="00C3702C">
              <w:rPr>
                <w:rFonts w:ascii="Sabon" w:hAnsi="Sabon"/>
                <w:sz w:val="22"/>
                <w:szCs w:val="22"/>
              </w:rPr>
              <w:t>Textile</w:t>
            </w:r>
            <w:r>
              <w:rPr>
                <w:rFonts w:ascii="Sabon" w:hAnsi="Sabon"/>
                <w:sz w:val="22"/>
                <w:szCs w:val="22"/>
              </w:rPr>
              <w:t xml:space="preserve"> and</w:t>
            </w:r>
            <w:r w:rsidRPr="00C3702C">
              <w:rPr>
                <w:rFonts w:ascii="Sabon" w:hAnsi="Sabon"/>
                <w:sz w:val="22"/>
                <w:szCs w:val="22"/>
              </w:rPr>
              <w:t xml:space="preserve"> clothing  manufacture</w:t>
            </w:r>
          </w:p>
        </w:tc>
        <w:tc>
          <w:tcPr>
            <w:tcW w:w="1471" w:type="dxa"/>
          </w:tcPr>
          <w:p w:rsidR="002916E8" w:rsidRPr="00C3702C" w:rsidRDefault="002916E8" w:rsidP="00FC4D15">
            <w:pPr>
              <w:spacing w:after="140"/>
              <w:rPr>
                <w:rFonts w:ascii="Sabon" w:hAnsi="Sabon"/>
                <w:sz w:val="22"/>
                <w:szCs w:val="22"/>
              </w:rPr>
            </w:pPr>
            <w:r>
              <w:rPr>
                <w:rFonts w:ascii="Sabon" w:hAnsi="Sabon"/>
                <w:sz w:val="22"/>
                <w:szCs w:val="22"/>
              </w:rPr>
              <w:t>8</w:t>
            </w:r>
            <w:r w:rsidR="00FC4D15">
              <w:rPr>
                <w:rFonts w:ascii="Sabon" w:hAnsi="Sabon"/>
                <w:sz w:val="22"/>
                <w:szCs w:val="22"/>
              </w:rPr>
              <w:t>7</w:t>
            </w:r>
          </w:p>
        </w:tc>
        <w:tc>
          <w:tcPr>
            <w:tcW w:w="1578" w:type="dxa"/>
          </w:tcPr>
          <w:p w:rsidR="002916E8" w:rsidRPr="00C3702C" w:rsidRDefault="002916E8" w:rsidP="00FC4D15">
            <w:pPr>
              <w:spacing w:after="140"/>
              <w:rPr>
                <w:rFonts w:ascii="Sabon" w:hAnsi="Sabon"/>
                <w:sz w:val="22"/>
                <w:szCs w:val="22"/>
              </w:rPr>
            </w:pPr>
            <w:r>
              <w:rPr>
                <w:rFonts w:ascii="Sabon" w:hAnsi="Sabon"/>
                <w:sz w:val="22"/>
                <w:szCs w:val="22"/>
              </w:rPr>
              <w:t>7</w:t>
            </w:r>
            <w:r w:rsidR="00FC4D15">
              <w:rPr>
                <w:rFonts w:ascii="Sabon" w:hAnsi="Sabon"/>
                <w:sz w:val="22"/>
                <w:szCs w:val="22"/>
              </w:rPr>
              <w:t>8</w:t>
            </w:r>
          </w:p>
        </w:tc>
        <w:tc>
          <w:tcPr>
            <w:tcW w:w="1412" w:type="dxa"/>
          </w:tcPr>
          <w:p w:rsidR="002916E8" w:rsidRPr="0040402C" w:rsidRDefault="002916E8" w:rsidP="00FC4D15">
            <w:pPr>
              <w:spacing w:after="140"/>
              <w:rPr>
                <w:rFonts w:ascii="Sabon" w:hAnsi="Sabon"/>
                <w:sz w:val="22"/>
                <w:szCs w:val="22"/>
              </w:rPr>
            </w:pPr>
            <w:r>
              <w:rPr>
                <w:rFonts w:ascii="Sabon" w:hAnsi="Sabon"/>
                <w:sz w:val="22"/>
                <w:szCs w:val="22"/>
              </w:rPr>
              <w:t>-</w:t>
            </w:r>
            <w:r w:rsidR="00FC4D15">
              <w:rPr>
                <w:rFonts w:ascii="Sabon" w:hAnsi="Sabon"/>
                <w:sz w:val="22"/>
                <w:szCs w:val="22"/>
              </w:rPr>
              <w:t>9</w:t>
            </w:r>
          </w:p>
        </w:tc>
        <w:tc>
          <w:tcPr>
            <w:tcW w:w="1190" w:type="dxa"/>
          </w:tcPr>
          <w:p w:rsidR="002916E8" w:rsidRPr="002916E8" w:rsidRDefault="00C23B98" w:rsidP="00FC4D15">
            <w:pPr>
              <w:spacing w:after="140"/>
              <w:rPr>
                <w:rFonts w:ascii="Sabon" w:hAnsi="Sabon"/>
                <w:sz w:val="22"/>
                <w:szCs w:val="22"/>
              </w:rPr>
            </w:pPr>
            <w:r w:rsidRPr="00C23B98">
              <w:rPr>
                <w:rFonts w:ascii="Sabon" w:hAnsi="Sabon"/>
                <w:sz w:val="22"/>
                <w:szCs w:val="22"/>
              </w:rPr>
              <w:t>-1</w:t>
            </w:r>
            <w:r w:rsidR="00FC4D15">
              <w:rPr>
                <w:rFonts w:ascii="Sabon" w:hAnsi="Sabon"/>
                <w:sz w:val="22"/>
                <w:szCs w:val="22"/>
              </w:rPr>
              <w:t>0.4</w:t>
            </w:r>
            <w:r w:rsidRPr="00C23B9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sidRPr="00C3702C">
              <w:rPr>
                <w:rFonts w:ascii="Sabon" w:hAnsi="Sabon"/>
                <w:sz w:val="22"/>
                <w:szCs w:val="22"/>
              </w:rPr>
              <w:t>Retail trade (not motor vehicle</w:t>
            </w:r>
            <w:r>
              <w:rPr>
                <w:rFonts w:ascii="Sabon" w:hAnsi="Sabon"/>
                <w:sz w:val="22"/>
                <w:szCs w:val="22"/>
              </w:rPr>
              <w:t>s</w:t>
            </w:r>
            <w:r w:rsidRPr="00C3702C">
              <w:rPr>
                <w:rFonts w:ascii="Sabon" w:hAnsi="Sabon"/>
                <w:sz w:val="22"/>
                <w:szCs w:val="22"/>
              </w:rPr>
              <w:t xml:space="preserve">) </w:t>
            </w:r>
          </w:p>
        </w:tc>
        <w:tc>
          <w:tcPr>
            <w:tcW w:w="1471" w:type="dxa"/>
          </w:tcPr>
          <w:p w:rsidR="002916E8" w:rsidRPr="00C3702C" w:rsidRDefault="002916E8" w:rsidP="00FC4D15">
            <w:pPr>
              <w:spacing w:after="140"/>
              <w:rPr>
                <w:rFonts w:ascii="Sabon" w:hAnsi="Sabon"/>
                <w:sz w:val="22"/>
                <w:szCs w:val="22"/>
              </w:rPr>
            </w:pPr>
            <w:r>
              <w:rPr>
                <w:rFonts w:ascii="Sabon" w:hAnsi="Sabon"/>
                <w:sz w:val="22"/>
                <w:szCs w:val="22"/>
              </w:rPr>
              <w:t>2,</w:t>
            </w:r>
            <w:r w:rsidR="00FC4D15">
              <w:rPr>
                <w:rFonts w:ascii="Sabon" w:hAnsi="Sabon"/>
                <w:sz w:val="22"/>
                <w:szCs w:val="22"/>
              </w:rPr>
              <w:t>576</w:t>
            </w:r>
          </w:p>
        </w:tc>
        <w:tc>
          <w:tcPr>
            <w:tcW w:w="1578" w:type="dxa"/>
          </w:tcPr>
          <w:p w:rsidR="002916E8" w:rsidRPr="00C3702C" w:rsidRDefault="002916E8" w:rsidP="00FC4D15">
            <w:pPr>
              <w:spacing w:after="140"/>
              <w:rPr>
                <w:rFonts w:ascii="Sabon" w:hAnsi="Sabon"/>
                <w:sz w:val="22"/>
                <w:szCs w:val="22"/>
              </w:rPr>
            </w:pPr>
            <w:r>
              <w:rPr>
                <w:rFonts w:ascii="Sabon" w:hAnsi="Sabon"/>
                <w:sz w:val="22"/>
                <w:szCs w:val="22"/>
              </w:rPr>
              <w:t>2,</w:t>
            </w:r>
            <w:r w:rsidR="00FC4D15">
              <w:rPr>
                <w:rFonts w:ascii="Sabon" w:hAnsi="Sabon"/>
                <w:sz w:val="22"/>
                <w:szCs w:val="22"/>
              </w:rPr>
              <w:t>612</w:t>
            </w:r>
          </w:p>
        </w:tc>
        <w:tc>
          <w:tcPr>
            <w:tcW w:w="1412" w:type="dxa"/>
          </w:tcPr>
          <w:p w:rsidR="002916E8" w:rsidRPr="0040402C" w:rsidRDefault="00FC4D15" w:rsidP="002916E8">
            <w:pPr>
              <w:spacing w:after="140"/>
              <w:rPr>
                <w:rFonts w:ascii="Sabon" w:hAnsi="Sabon"/>
                <w:sz w:val="22"/>
                <w:szCs w:val="22"/>
              </w:rPr>
            </w:pPr>
            <w:r>
              <w:rPr>
                <w:rFonts w:ascii="Sabon" w:hAnsi="Sabon"/>
                <w:sz w:val="22"/>
                <w:szCs w:val="22"/>
              </w:rPr>
              <w:t>+36</w:t>
            </w:r>
          </w:p>
        </w:tc>
        <w:tc>
          <w:tcPr>
            <w:tcW w:w="1190" w:type="dxa"/>
          </w:tcPr>
          <w:p w:rsidR="002916E8" w:rsidRPr="002916E8" w:rsidRDefault="00FC4D15" w:rsidP="00FC4D15">
            <w:pPr>
              <w:spacing w:after="140"/>
              <w:rPr>
                <w:rFonts w:ascii="Sabon" w:hAnsi="Sabon"/>
                <w:sz w:val="22"/>
                <w:szCs w:val="22"/>
              </w:rPr>
            </w:pPr>
            <w:r>
              <w:rPr>
                <w:rFonts w:ascii="Sabon" w:hAnsi="Sabon"/>
                <w:sz w:val="22"/>
                <w:szCs w:val="22"/>
              </w:rPr>
              <w:t>+</w:t>
            </w:r>
            <w:r w:rsidR="00C23B98" w:rsidRPr="00C23B98">
              <w:rPr>
                <w:rFonts w:ascii="Sabon" w:hAnsi="Sabon"/>
                <w:sz w:val="22"/>
                <w:szCs w:val="22"/>
              </w:rPr>
              <w:t>1</w:t>
            </w:r>
            <w:r>
              <w:rPr>
                <w:rFonts w:ascii="Sabon" w:hAnsi="Sabon"/>
                <w:sz w:val="22"/>
                <w:szCs w:val="22"/>
              </w:rPr>
              <w:t>4</w:t>
            </w:r>
            <w:r w:rsidR="00C23B98" w:rsidRPr="00C23B9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sidRPr="00C3702C">
              <w:rPr>
                <w:rFonts w:ascii="Sabon" w:hAnsi="Sabon"/>
                <w:sz w:val="22"/>
                <w:szCs w:val="22"/>
              </w:rPr>
              <w:t>Hotels</w:t>
            </w:r>
            <w:r>
              <w:rPr>
                <w:rFonts w:ascii="Sabon" w:hAnsi="Sabon"/>
                <w:sz w:val="22"/>
                <w:szCs w:val="22"/>
              </w:rPr>
              <w:t xml:space="preserve"> and accommodation</w:t>
            </w:r>
            <w:r w:rsidRPr="00C3702C">
              <w:rPr>
                <w:rFonts w:ascii="Sabon" w:hAnsi="Sabon"/>
                <w:sz w:val="22"/>
                <w:szCs w:val="22"/>
              </w:rPr>
              <w:t xml:space="preserve"> </w:t>
            </w:r>
          </w:p>
        </w:tc>
        <w:tc>
          <w:tcPr>
            <w:tcW w:w="1471" w:type="dxa"/>
          </w:tcPr>
          <w:p w:rsidR="002916E8" w:rsidRPr="00C3702C" w:rsidRDefault="002916E8" w:rsidP="00FC4D15">
            <w:pPr>
              <w:spacing w:after="140"/>
              <w:rPr>
                <w:rFonts w:ascii="Sabon" w:hAnsi="Sabon"/>
                <w:sz w:val="22"/>
                <w:szCs w:val="22"/>
              </w:rPr>
            </w:pPr>
            <w:r>
              <w:rPr>
                <w:rFonts w:ascii="Sabon" w:hAnsi="Sabon"/>
                <w:sz w:val="22"/>
                <w:szCs w:val="22"/>
              </w:rPr>
              <w:t>3</w:t>
            </w:r>
            <w:r w:rsidR="00FC4D15">
              <w:rPr>
                <w:rFonts w:ascii="Sabon" w:hAnsi="Sabon"/>
                <w:sz w:val="22"/>
                <w:szCs w:val="22"/>
              </w:rPr>
              <w:t>06</w:t>
            </w:r>
          </w:p>
        </w:tc>
        <w:tc>
          <w:tcPr>
            <w:tcW w:w="1578" w:type="dxa"/>
          </w:tcPr>
          <w:p w:rsidR="002916E8" w:rsidRPr="00C3702C" w:rsidRDefault="00FC4D15" w:rsidP="00FC4D15">
            <w:pPr>
              <w:spacing w:after="140"/>
              <w:rPr>
                <w:rFonts w:ascii="Sabon" w:hAnsi="Sabon"/>
                <w:sz w:val="22"/>
                <w:szCs w:val="22"/>
              </w:rPr>
            </w:pPr>
            <w:r>
              <w:rPr>
                <w:rFonts w:ascii="Sabon" w:hAnsi="Sabon"/>
                <w:sz w:val="22"/>
                <w:szCs w:val="22"/>
              </w:rPr>
              <w:t>302</w:t>
            </w:r>
          </w:p>
        </w:tc>
        <w:tc>
          <w:tcPr>
            <w:tcW w:w="1412" w:type="dxa"/>
          </w:tcPr>
          <w:p w:rsidR="002916E8" w:rsidRPr="00553730" w:rsidRDefault="00FC4D15" w:rsidP="00FC4D15">
            <w:pPr>
              <w:spacing w:after="140"/>
              <w:rPr>
                <w:rFonts w:ascii="Sabon" w:hAnsi="Sabon"/>
                <w:i/>
                <w:sz w:val="22"/>
                <w:szCs w:val="22"/>
              </w:rPr>
            </w:pPr>
            <w:r>
              <w:rPr>
                <w:rFonts w:ascii="Sabon" w:hAnsi="Sabon"/>
                <w:i/>
                <w:sz w:val="22"/>
                <w:szCs w:val="22"/>
              </w:rPr>
              <w:t>-4</w:t>
            </w:r>
          </w:p>
        </w:tc>
        <w:tc>
          <w:tcPr>
            <w:tcW w:w="1190" w:type="dxa"/>
          </w:tcPr>
          <w:p w:rsidR="002916E8" w:rsidRPr="002916E8" w:rsidRDefault="00FC4D15" w:rsidP="00FC4D15">
            <w:pPr>
              <w:spacing w:after="140"/>
              <w:rPr>
                <w:rFonts w:ascii="Sabon" w:hAnsi="Sabon"/>
                <w:sz w:val="22"/>
                <w:szCs w:val="22"/>
              </w:rPr>
            </w:pPr>
            <w:r>
              <w:rPr>
                <w:rFonts w:ascii="Sabon" w:hAnsi="Sabon"/>
                <w:sz w:val="22"/>
                <w:szCs w:val="22"/>
              </w:rPr>
              <w:t>-1.3%</w:t>
            </w:r>
            <w:r w:rsidR="002916E8" w:rsidRPr="002916E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Pr>
                <w:rFonts w:ascii="Sabon" w:hAnsi="Sabon"/>
                <w:sz w:val="22"/>
                <w:szCs w:val="22"/>
              </w:rPr>
              <w:t>Food and beverage service activities</w:t>
            </w:r>
          </w:p>
        </w:tc>
        <w:tc>
          <w:tcPr>
            <w:tcW w:w="1471" w:type="dxa"/>
          </w:tcPr>
          <w:p w:rsidR="002916E8" w:rsidRPr="00C3702C" w:rsidRDefault="002916E8" w:rsidP="00FC4D15">
            <w:pPr>
              <w:spacing w:after="140"/>
              <w:rPr>
                <w:rFonts w:ascii="Sabon" w:hAnsi="Sabon"/>
                <w:sz w:val="22"/>
                <w:szCs w:val="22"/>
              </w:rPr>
            </w:pPr>
            <w:r>
              <w:rPr>
                <w:rFonts w:ascii="Sabon" w:hAnsi="Sabon"/>
                <w:sz w:val="22"/>
                <w:szCs w:val="22"/>
              </w:rPr>
              <w:t>1,</w:t>
            </w:r>
            <w:r w:rsidR="00FC4D15">
              <w:rPr>
                <w:rFonts w:ascii="Sabon" w:hAnsi="Sabon"/>
                <w:sz w:val="22"/>
                <w:szCs w:val="22"/>
              </w:rPr>
              <w:t>039</w:t>
            </w:r>
          </w:p>
        </w:tc>
        <w:tc>
          <w:tcPr>
            <w:tcW w:w="1578" w:type="dxa"/>
          </w:tcPr>
          <w:p w:rsidR="002916E8" w:rsidRPr="00C3702C" w:rsidRDefault="002916E8" w:rsidP="00FC4D15">
            <w:pPr>
              <w:spacing w:after="140"/>
              <w:rPr>
                <w:rFonts w:ascii="Sabon" w:hAnsi="Sabon"/>
                <w:sz w:val="22"/>
                <w:szCs w:val="22"/>
              </w:rPr>
            </w:pPr>
            <w:r>
              <w:rPr>
                <w:rFonts w:ascii="Sabon" w:hAnsi="Sabon"/>
                <w:sz w:val="22"/>
                <w:szCs w:val="22"/>
              </w:rPr>
              <w:t>1,</w:t>
            </w:r>
            <w:r w:rsidR="00FC4D15">
              <w:rPr>
                <w:rFonts w:ascii="Sabon" w:hAnsi="Sabon"/>
                <w:sz w:val="22"/>
                <w:szCs w:val="22"/>
              </w:rPr>
              <w:t>128</w:t>
            </w:r>
          </w:p>
        </w:tc>
        <w:tc>
          <w:tcPr>
            <w:tcW w:w="1412" w:type="dxa"/>
          </w:tcPr>
          <w:p w:rsidR="002916E8" w:rsidRPr="00C3702C" w:rsidRDefault="002916E8" w:rsidP="00FC4D15">
            <w:pPr>
              <w:spacing w:after="140"/>
              <w:rPr>
                <w:rFonts w:ascii="Sabon" w:hAnsi="Sabon"/>
                <w:sz w:val="22"/>
                <w:szCs w:val="22"/>
              </w:rPr>
            </w:pPr>
            <w:r>
              <w:rPr>
                <w:rFonts w:ascii="Sabon" w:hAnsi="Sabon"/>
                <w:sz w:val="22"/>
                <w:szCs w:val="22"/>
              </w:rPr>
              <w:t>+</w:t>
            </w:r>
            <w:r w:rsidR="00FC4D15">
              <w:rPr>
                <w:rFonts w:ascii="Sabon" w:hAnsi="Sabon"/>
                <w:sz w:val="22"/>
                <w:szCs w:val="22"/>
              </w:rPr>
              <w:t>89</w:t>
            </w:r>
          </w:p>
        </w:tc>
        <w:tc>
          <w:tcPr>
            <w:tcW w:w="1190" w:type="dxa"/>
          </w:tcPr>
          <w:p w:rsidR="002916E8" w:rsidRPr="002916E8" w:rsidRDefault="002916E8" w:rsidP="00FC4D15">
            <w:pPr>
              <w:spacing w:after="140"/>
              <w:rPr>
                <w:rFonts w:ascii="Sabon" w:hAnsi="Sabon"/>
                <w:sz w:val="22"/>
                <w:szCs w:val="22"/>
              </w:rPr>
            </w:pPr>
            <w:r w:rsidRPr="002916E8">
              <w:rPr>
                <w:rFonts w:ascii="Sabon" w:hAnsi="Sabon"/>
                <w:sz w:val="22"/>
                <w:szCs w:val="22"/>
              </w:rPr>
              <w:t>+</w:t>
            </w:r>
            <w:r w:rsidR="00FC4D15">
              <w:rPr>
                <w:rFonts w:ascii="Sabon" w:hAnsi="Sabon"/>
                <w:sz w:val="22"/>
                <w:szCs w:val="22"/>
              </w:rPr>
              <w:t>8.6</w:t>
            </w:r>
            <w:r w:rsidRPr="002916E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Pr>
                <w:rFonts w:ascii="Sabon" w:hAnsi="Sabon"/>
                <w:sz w:val="22"/>
                <w:szCs w:val="22"/>
              </w:rPr>
              <w:t>Residential care and s</w:t>
            </w:r>
            <w:r w:rsidRPr="00C3702C">
              <w:rPr>
                <w:rFonts w:ascii="Sabon" w:hAnsi="Sabon"/>
                <w:sz w:val="22"/>
                <w:szCs w:val="22"/>
              </w:rPr>
              <w:t>ocial work activities</w:t>
            </w:r>
          </w:p>
        </w:tc>
        <w:tc>
          <w:tcPr>
            <w:tcW w:w="1471" w:type="dxa"/>
          </w:tcPr>
          <w:p w:rsidR="002916E8" w:rsidRPr="00C3702C" w:rsidRDefault="002916E8" w:rsidP="00FC4D15">
            <w:pPr>
              <w:spacing w:after="140"/>
              <w:rPr>
                <w:rFonts w:ascii="Sabon" w:hAnsi="Sabon"/>
                <w:sz w:val="22"/>
                <w:szCs w:val="22"/>
              </w:rPr>
            </w:pPr>
            <w:r>
              <w:rPr>
                <w:rFonts w:ascii="Sabon" w:hAnsi="Sabon"/>
                <w:sz w:val="22"/>
                <w:szCs w:val="22"/>
              </w:rPr>
              <w:t>1,6</w:t>
            </w:r>
            <w:r w:rsidR="00FC4D15">
              <w:rPr>
                <w:rFonts w:ascii="Sabon" w:hAnsi="Sabon"/>
                <w:sz w:val="22"/>
                <w:szCs w:val="22"/>
              </w:rPr>
              <w:t>54</w:t>
            </w:r>
          </w:p>
        </w:tc>
        <w:tc>
          <w:tcPr>
            <w:tcW w:w="1578" w:type="dxa"/>
          </w:tcPr>
          <w:p w:rsidR="002916E8" w:rsidRPr="00C3702C" w:rsidRDefault="002916E8" w:rsidP="00FC4D15">
            <w:pPr>
              <w:spacing w:after="140"/>
              <w:rPr>
                <w:rFonts w:ascii="Sabon" w:hAnsi="Sabon"/>
                <w:sz w:val="22"/>
                <w:szCs w:val="22"/>
              </w:rPr>
            </w:pPr>
            <w:r>
              <w:rPr>
                <w:rFonts w:ascii="Sabon" w:hAnsi="Sabon"/>
                <w:sz w:val="22"/>
                <w:szCs w:val="22"/>
              </w:rPr>
              <w:t>1,7</w:t>
            </w:r>
            <w:r w:rsidR="00FC4D15">
              <w:rPr>
                <w:rFonts w:ascii="Sabon" w:hAnsi="Sabon"/>
                <w:sz w:val="22"/>
                <w:szCs w:val="22"/>
              </w:rPr>
              <w:t>06</w:t>
            </w:r>
          </w:p>
        </w:tc>
        <w:tc>
          <w:tcPr>
            <w:tcW w:w="1412" w:type="dxa"/>
          </w:tcPr>
          <w:p w:rsidR="002916E8" w:rsidRPr="00C3702C" w:rsidRDefault="002916E8" w:rsidP="00FC4D15">
            <w:pPr>
              <w:spacing w:after="140"/>
              <w:rPr>
                <w:rFonts w:ascii="Sabon" w:hAnsi="Sabon"/>
                <w:sz w:val="22"/>
                <w:szCs w:val="22"/>
              </w:rPr>
            </w:pPr>
            <w:r>
              <w:rPr>
                <w:rFonts w:ascii="Sabon" w:hAnsi="Sabon"/>
                <w:sz w:val="22"/>
                <w:szCs w:val="22"/>
              </w:rPr>
              <w:t>+</w:t>
            </w:r>
            <w:r w:rsidR="00FC4D15">
              <w:rPr>
                <w:rFonts w:ascii="Sabon" w:hAnsi="Sabon"/>
                <w:sz w:val="22"/>
                <w:szCs w:val="22"/>
              </w:rPr>
              <w:t>52</w:t>
            </w:r>
          </w:p>
        </w:tc>
        <w:tc>
          <w:tcPr>
            <w:tcW w:w="1190" w:type="dxa"/>
          </w:tcPr>
          <w:p w:rsidR="002916E8" w:rsidRPr="002916E8" w:rsidRDefault="002916E8" w:rsidP="00FC4D15">
            <w:pPr>
              <w:spacing w:after="140"/>
              <w:rPr>
                <w:rFonts w:ascii="Sabon" w:hAnsi="Sabon"/>
                <w:sz w:val="22"/>
                <w:szCs w:val="22"/>
              </w:rPr>
            </w:pPr>
            <w:r w:rsidRPr="002916E8">
              <w:rPr>
                <w:rFonts w:ascii="Sabon" w:hAnsi="Sabon"/>
                <w:sz w:val="22"/>
                <w:szCs w:val="22"/>
              </w:rPr>
              <w:t>+</w:t>
            </w:r>
            <w:r w:rsidR="00FC4D15">
              <w:rPr>
                <w:rFonts w:ascii="Sabon" w:hAnsi="Sabon"/>
                <w:sz w:val="22"/>
                <w:szCs w:val="22"/>
              </w:rPr>
              <w:t>3.1</w:t>
            </w:r>
            <w:r w:rsidRPr="002916E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Pr>
                <w:rFonts w:ascii="Sabon" w:hAnsi="Sabon"/>
                <w:sz w:val="22"/>
                <w:szCs w:val="22"/>
              </w:rPr>
              <w:t>Services to buildings and landscape activities</w:t>
            </w:r>
          </w:p>
        </w:tc>
        <w:tc>
          <w:tcPr>
            <w:tcW w:w="1471" w:type="dxa"/>
          </w:tcPr>
          <w:p w:rsidR="002916E8" w:rsidRPr="00C3702C" w:rsidRDefault="002916E8" w:rsidP="00FC4D15">
            <w:pPr>
              <w:spacing w:after="140"/>
              <w:rPr>
                <w:rFonts w:ascii="Sabon" w:hAnsi="Sabon"/>
                <w:sz w:val="22"/>
                <w:szCs w:val="22"/>
              </w:rPr>
            </w:pPr>
            <w:r>
              <w:rPr>
                <w:rFonts w:ascii="Sabon" w:hAnsi="Sabon"/>
                <w:sz w:val="22"/>
                <w:szCs w:val="22"/>
              </w:rPr>
              <w:t>3</w:t>
            </w:r>
            <w:r w:rsidR="00FC4D15">
              <w:rPr>
                <w:rFonts w:ascii="Sabon" w:hAnsi="Sabon"/>
                <w:sz w:val="22"/>
                <w:szCs w:val="22"/>
              </w:rPr>
              <w:t>32</w:t>
            </w:r>
          </w:p>
        </w:tc>
        <w:tc>
          <w:tcPr>
            <w:tcW w:w="1578" w:type="dxa"/>
          </w:tcPr>
          <w:p w:rsidR="002916E8" w:rsidRPr="00C3702C" w:rsidRDefault="00FC4D15" w:rsidP="00FC4D15">
            <w:pPr>
              <w:spacing w:after="140"/>
              <w:rPr>
                <w:rFonts w:ascii="Sabon" w:hAnsi="Sabon"/>
                <w:sz w:val="22"/>
                <w:szCs w:val="22"/>
              </w:rPr>
            </w:pPr>
            <w:r>
              <w:rPr>
                <w:rFonts w:ascii="Sabon" w:hAnsi="Sabon"/>
                <w:sz w:val="22"/>
                <w:szCs w:val="22"/>
              </w:rPr>
              <w:t>3</w:t>
            </w:r>
            <w:r w:rsidR="002916E8">
              <w:rPr>
                <w:rFonts w:ascii="Sabon" w:hAnsi="Sabon"/>
                <w:sz w:val="22"/>
                <w:szCs w:val="22"/>
              </w:rPr>
              <w:t>7</w:t>
            </w:r>
            <w:r>
              <w:rPr>
                <w:rFonts w:ascii="Sabon" w:hAnsi="Sabon"/>
                <w:sz w:val="22"/>
                <w:szCs w:val="22"/>
              </w:rPr>
              <w:t>8</w:t>
            </w:r>
          </w:p>
        </w:tc>
        <w:tc>
          <w:tcPr>
            <w:tcW w:w="1412" w:type="dxa"/>
          </w:tcPr>
          <w:p w:rsidR="002916E8" w:rsidRPr="00ED253E" w:rsidRDefault="002916E8" w:rsidP="00FC4D15">
            <w:pPr>
              <w:spacing w:after="140"/>
              <w:rPr>
                <w:rFonts w:ascii="Sabon" w:hAnsi="Sabon"/>
                <w:sz w:val="22"/>
                <w:szCs w:val="22"/>
              </w:rPr>
            </w:pPr>
            <w:r>
              <w:rPr>
                <w:rFonts w:ascii="Sabon" w:hAnsi="Sabon"/>
                <w:sz w:val="22"/>
                <w:szCs w:val="22"/>
              </w:rPr>
              <w:t>+</w:t>
            </w:r>
            <w:r w:rsidR="00FC4D15">
              <w:rPr>
                <w:rFonts w:ascii="Sabon" w:hAnsi="Sabon"/>
                <w:sz w:val="22"/>
                <w:szCs w:val="22"/>
              </w:rPr>
              <w:t>46</w:t>
            </w:r>
          </w:p>
        </w:tc>
        <w:tc>
          <w:tcPr>
            <w:tcW w:w="1190" w:type="dxa"/>
          </w:tcPr>
          <w:p w:rsidR="002916E8" w:rsidRPr="002916E8" w:rsidRDefault="002916E8" w:rsidP="00FC4D15">
            <w:pPr>
              <w:spacing w:after="140"/>
              <w:rPr>
                <w:rFonts w:ascii="Sabon" w:hAnsi="Sabon"/>
                <w:sz w:val="22"/>
                <w:szCs w:val="22"/>
              </w:rPr>
            </w:pPr>
            <w:r w:rsidRPr="002916E8">
              <w:rPr>
                <w:rFonts w:ascii="Sabon" w:hAnsi="Sabon"/>
                <w:sz w:val="22"/>
                <w:szCs w:val="22"/>
              </w:rPr>
              <w:t>+1</w:t>
            </w:r>
            <w:r w:rsidR="00FC4D15">
              <w:rPr>
                <w:rFonts w:ascii="Sabon" w:hAnsi="Sabon"/>
                <w:sz w:val="22"/>
                <w:szCs w:val="22"/>
              </w:rPr>
              <w:t>3</w:t>
            </w:r>
            <w:r w:rsidRPr="002916E8">
              <w:rPr>
                <w:rFonts w:ascii="Sabon" w:hAnsi="Sabon"/>
                <w:sz w:val="22"/>
                <w:szCs w:val="22"/>
              </w:rPr>
              <w:t>.</w:t>
            </w:r>
            <w:r w:rsidR="00FC4D15">
              <w:rPr>
                <w:rFonts w:ascii="Sabon" w:hAnsi="Sabon"/>
                <w:sz w:val="22"/>
                <w:szCs w:val="22"/>
              </w:rPr>
              <w:t>8</w:t>
            </w:r>
            <w:r w:rsidRPr="002916E8">
              <w:rPr>
                <w:rFonts w:ascii="Sabon" w:hAnsi="Sabon"/>
                <w:sz w:val="22"/>
                <w:szCs w:val="22"/>
              </w:rPr>
              <w:t>%</w:t>
            </w:r>
          </w:p>
        </w:tc>
      </w:tr>
      <w:tr w:rsidR="002916E8" w:rsidRPr="00C3702C" w:rsidTr="002916E8">
        <w:tc>
          <w:tcPr>
            <w:tcW w:w="2387" w:type="dxa"/>
          </w:tcPr>
          <w:p w:rsidR="002916E8" w:rsidRDefault="002916E8" w:rsidP="002916E8">
            <w:pPr>
              <w:spacing w:after="140"/>
              <w:rPr>
                <w:rFonts w:ascii="Sabon" w:hAnsi="Sabon"/>
                <w:sz w:val="22"/>
                <w:szCs w:val="22"/>
              </w:rPr>
            </w:pPr>
            <w:r>
              <w:rPr>
                <w:rFonts w:ascii="Sabon" w:hAnsi="Sabon"/>
                <w:sz w:val="22"/>
                <w:szCs w:val="22"/>
              </w:rPr>
              <w:t xml:space="preserve">Recruitment and  employment agencies </w:t>
            </w:r>
          </w:p>
        </w:tc>
        <w:tc>
          <w:tcPr>
            <w:tcW w:w="1471" w:type="dxa"/>
          </w:tcPr>
          <w:p w:rsidR="002916E8" w:rsidRPr="00C3702C" w:rsidRDefault="002916E8" w:rsidP="002916E8">
            <w:pPr>
              <w:spacing w:after="140"/>
              <w:rPr>
                <w:rFonts w:ascii="Sabon" w:hAnsi="Sabon"/>
                <w:sz w:val="22"/>
                <w:szCs w:val="22"/>
              </w:rPr>
            </w:pPr>
            <w:r>
              <w:rPr>
                <w:rFonts w:ascii="Sabon" w:hAnsi="Sabon"/>
                <w:sz w:val="22"/>
                <w:szCs w:val="22"/>
              </w:rPr>
              <w:t>196</w:t>
            </w:r>
          </w:p>
        </w:tc>
        <w:tc>
          <w:tcPr>
            <w:tcW w:w="1578" w:type="dxa"/>
          </w:tcPr>
          <w:p w:rsidR="002916E8" w:rsidRPr="00C3702C" w:rsidRDefault="002916E8" w:rsidP="00FC4D15">
            <w:pPr>
              <w:spacing w:after="140"/>
              <w:rPr>
                <w:rFonts w:ascii="Sabon" w:hAnsi="Sabon"/>
                <w:sz w:val="22"/>
                <w:szCs w:val="22"/>
              </w:rPr>
            </w:pPr>
            <w:r>
              <w:rPr>
                <w:rFonts w:ascii="Sabon" w:hAnsi="Sabon"/>
                <w:sz w:val="22"/>
                <w:szCs w:val="22"/>
              </w:rPr>
              <w:t>17</w:t>
            </w:r>
            <w:r w:rsidR="00FC4D15">
              <w:rPr>
                <w:rFonts w:ascii="Sabon" w:hAnsi="Sabon"/>
                <w:sz w:val="22"/>
                <w:szCs w:val="22"/>
              </w:rPr>
              <w:t>8</w:t>
            </w:r>
          </w:p>
        </w:tc>
        <w:tc>
          <w:tcPr>
            <w:tcW w:w="1412" w:type="dxa"/>
          </w:tcPr>
          <w:p w:rsidR="002916E8" w:rsidRPr="00ED253E" w:rsidRDefault="002916E8" w:rsidP="00FC4D15">
            <w:pPr>
              <w:spacing w:after="140"/>
              <w:rPr>
                <w:rFonts w:ascii="Sabon" w:hAnsi="Sabon"/>
                <w:sz w:val="22"/>
                <w:szCs w:val="22"/>
              </w:rPr>
            </w:pPr>
            <w:r>
              <w:rPr>
                <w:rFonts w:ascii="Sabon" w:hAnsi="Sabon"/>
                <w:sz w:val="22"/>
                <w:szCs w:val="22"/>
              </w:rPr>
              <w:t>-</w:t>
            </w:r>
            <w:r w:rsidR="00FC4D15">
              <w:rPr>
                <w:rFonts w:ascii="Sabon" w:hAnsi="Sabon"/>
                <w:sz w:val="22"/>
                <w:szCs w:val="22"/>
              </w:rPr>
              <w:t>18</w:t>
            </w:r>
          </w:p>
        </w:tc>
        <w:tc>
          <w:tcPr>
            <w:tcW w:w="1190" w:type="dxa"/>
          </w:tcPr>
          <w:p w:rsidR="002916E8" w:rsidRPr="002916E8" w:rsidRDefault="00C23B98" w:rsidP="00FC4D15">
            <w:pPr>
              <w:spacing w:after="140"/>
              <w:rPr>
                <w:rFonts w:ascii="Sabon" w:hAnsi="Sabon"/>
                <w:sz w:val="22"/>
                <w:szCs w:val="22"/>
              </w:rPr>
            </w:pPr>
            <w:r w:rsidRPr="00C23B98">
              <w:rPr>
                <w:rFonts w:ascii="Sabon" w:hAnsi="Sabon"/>
                <w:sz w:val="22"/>
                <w:szCs w:val="22"/>
              </w:rPr>
              <w:t>-8</w:t>
            </w:r>
            <w:r w:rsidR="00FC4D15">
              <w:rPr>
                <w:rFonts w:ascii="Sabon" w:hAnsi="Sabon"/>
                <w:sz w:val="22"/>
                <w:szCs w:val="22"/>
              </w:rPr>
              <w:t>.2</w:t>
            </w:r>
            <w:r w:rsidRPr="00C23B98">
              <w:rPr>
                <w:rFonts w:ascii="Sabon" w:hAnsi="Sabon"/>
                <w:sz w:val="22"/>
                <w:szCs w:val="22"/>
              </w:rPr>
              <w:t>%</w:t>
            </w:r>
          </w:p>
        </w:tc>
      </w:tr>
      <w:tr w:rsidR="002916E8" w:rsidRPr="00C3702C" w:rsidTr="002916E8">
        <w:tc>
          <w:tcPr>
            <w:tcW w:w="2387" w:type="dxa"/>
          </w:tcPr>
          <w:p w:rsidR="002916E8" w:rsidRPr="00C3702C" w:rsidRDefault="002916E8" w:rsidP="002916E8">
            <w:pPr>
              <w:spacing w:after="140"/>
              <w:rPr>
                <w:rFonts w:ascii="Sabon" w:hAnsi="Sabon"/>
                <w:sz w:val="22"/>
                <w:szCs w:val="22"/>
              </w:rPr>
            </w:pPr>
            <w:r w:rsidRPr="00C3702C">
              <w:rPr>
                <w:rFonts w:ascii="Sabon" w:hAnsi="Sabon"/>
                <w:sz w:val="22"/>
                <w:szCs w:val="22"/>
              </w:rPr>
              <w:t>Hairdressing &amp; other beauty treatment</w:t>
            </w:r>
            <w:r>
              <w:rPr>
                <w:rFonts w:ascii="Sabon" w:hAnsi="Sabon"/>
                <w:sz w:val="22"/>
                <w:szCs w:val="22"/>
              </w:rPr>
              <w:t>*</w:t>
            </w:r>
          </w:p>
        </w:tc>
        <w:tc>
          <w:tcPr>
            <w:tcW w:w="1471" w:type="dxa"/>
          </w:tcPr>
          <w:p w:rsidR="002916E8" w:rsidRPr="00C3702C" w:rsidRDefault="002916E8" w:rsidP="002916E8">
            <w:pPr>
              <w:spacing w:after="140"/>
              <w:rPr>
                <w:rFonts w:ascii="Sabon" w:hAnsi="Sabon"/>
                <w:sz w:val="22"/>
                <w:szCs w:val="22"/>
              </w:rPr>
            </w:pPr>
            <w:r>
              <w:rPr>
                <w:rFonts w:ascii="Sabon" w:hAnsi="Sabon"/>
                <w:sz w:val="22"/>
                <w:szCs w:val="22"/>
              </w:rPr>
              <w:t>163</w:t>
            </w:r>
          </w:p>
        </w:tc>
        <w:tc>
          <w:tcPr>
            <w:tcW w:w="1578" w:type="dxa"/>
          </w:tcPr>
          <w:p w:rsidR="002916E8" w:rsidRPr="00C3702C" w:rsidRDefault="002916E8" w:rsidP="002916E8">
            <w:pPr>
              <w:spacing w:after="140"/>
              <w:rPr>
                <w:rFonts w:ascii="Sabon" w:hAnsi="Sabon"/>
                <w:sz w:val="22"/>
                <w:szCs w:val="22"/>
              </w:rPr>
            </w:pPr>
            <w:r>
              <w:rPr>
                <w:rFonts w:ascii="Sabon" w:hAnsi="Sabon"/>
                <w:sz w:val="22"/>
                <w:szCs w:val="22"/>
              </w:rPr>
              <w:t>131</w:t>
            </w:r>
          </w:p>
        </w:tc>
        <w:tc>
          <w:tcPr>
            <w:tcW w:w="1412" w:type="dxa"/>
          </w:tcPr>
          <w:p w:rsidR="002916E8" w:rsidRPr="007F4B1F" w:rsidRDefault="002916E8" w:rsidP="002916E8">
            <w:pPr>
              <w:spacing w:after="140"/>
              <w:rPr>
                <w:rFonts w:ascii="Sabon" w:hAnsi="Sabon"/>
                <w:sz w:val="22"/>
                <w:szCs w:val="22"/>
              </w:rPr>
            </w:pPr>
            <w:r>
              <w:rPr>
                <w:rFonts w:ascii="Sabon" w:hAnsi="Sabon"/>
                <w:sz w:val="22"/>
                <w:szCs w:val="22"/>
              </w:rPr>
              <w:t>-32</w:t>
            </w:r>
          </w:p>
        </w:tc>
        <w:tc>
          <w:tcPr>
            <w:tcW w:w="1190" w:type="dxa"/>
          </w:tcPr>
          <w:p w:rsidR="002916E8" w:rsidRPr="002916E8" w:rsidRDefault="00C23B98" w:rsidP="002916E8">
            <w:pPr>
              <w:spacing w:after="140"/>
              <w:rPr>
                <w:rFonts w:ascii="Sabon" w:hAnsi="Sabon"/>
                <w:sz w:val="22"/>
                <w:szCs w:val="22"/>
              </w:rPr>
            </w:pPr>
            <w:r w:rsidRPr="00C23B98">
              <w:rPr>
                <w:rFonts w:ascii="Sabon" w:hAnsi="Sabon"/>
                <w:sz w:val="22"/>
                <w:szCs w:val="22"/>
              </w:rPr>
              <w:t>-19.7%</w:t>
            </w:r>
          </w:p>
        </w:tc>
      </w:tr>
      <w:tr w:rsidR="002916E8" w:rsidRPr="00C3702C" w:rsidTr="007604E0">
        <w:trPr>
          <w:trHeight w:val="181"/>
        </w:trPr>
        <w:tc>
          <w:tcPr>
            <w:tcW w:w="2387" w:type="dxa"/>
          </w:tcPr>
          <w:p w:rsidR="002916E8" w:rsidRPr="00C3702C" w:rsidRDefault="002916E8" w:rsidP="002916E8">
            <w:pPr>
              <w:spacing w:after="140"/>
              <w:rPr>
                <w:rFonts w:ascii="Sabon" w:hAnsi="Sabon"/>
                <w:sz w:val="22"/>
                <w:szCs w:val="22"/>
              </w:rPr>
            </w:pPr>
          </w:p>
        </w:tc>
        <w:tc>
          <w:tcPr>
            <w:tcW w:w="1471" w:type="dxa"/>
          </w:tcPr>
          <w:p w:rsidR="002916E8" w:rsidRPr="00C3702C" w:rsidRDefault="002916E8" w:rsidP="002916E8">
            <w:pPr>
              <w:spacing w:after="140"/>
              <w:rPr>
                <w:rFonts w:ascii="Sabon" w:hAnsi="Sabon"/>
                <w:sz w:val="22"/>
                <w:szCs w:val="22"/>
              </w:rPr>
            </w:pPr>
          </w:p>
        </w:tc>
        <w:tc>
          <w:tcPr>
            <w:tcW w:w="1578" w:type="dxa"/>
          </w:tcPr>
          <w:p w:rsidR="002916E8" w:rsidRPr="00C3702C" w:rsidRDefault="002916E8" w:rsidP="002916E8">
            <w:pPr>
              <w:spacing w:after="140"/>
              <w:rPr>
                <w:rFonts w:ascii="Sabon" w:hAnsi="Sabon"/>
                <w:sz w:val="22"/>
                <w:szCs w:val="22"/>
              </w:rPr>
            </w:pPr>
          </w:p>
        </w:tc>
        <w:tc>
          <w:tcPr>
            <w:tcW w:w="1412" w:type="dxa"/>
          </w:tcPr>
          <w:p w:rsidR="002916E8" w:rsidRPr="00C3702C" w:rsidRDefault="002916E8" w:rsidP="002916E8">
            <w:pPr>
              <w:spacing w:after="140"/>
              <w:rPr>
                <w:rFonts w:ascii="Sabon" w:hAnsi="Sabon"/>
                <w:sz w:val="22"/>
                <w:szCs w:val="22"/>
              </w:rPr>
            </w:pPr>
          </w:p>
        </w:tc>
        <w:tc>
          <w:tcPr>
            <w:tcW w:w="1190" w:type="dxa"/>
          </w:tcPr>
          <w:p w:rsidR="002916E8" w:rsidRPr="002916E8" w:rsidRDefault="002916E8" w:rsidP="002916E8">
            <w:pPr>
              <w:spacing w:after="140"/>
              <w:rPr>
                <w:rFonts w:ascii="Sabon" w:hAnsi="Sabon"/>
                <w:sz w:val="22"/>
                <w:szCs w:val="22"/>
              </w:rPr>
            </w:pPr>
          </w:p>
        </w:tc>
      </w:tr>
      <w:tr w:rsidR="002916E8" w:rsidRPr="00C3702C" w:rsidTr="002916E8">
        <w:tc>
          <w:tcPr>
            <w:tcW w:w="2387" w:type="dxa"/>
          </w:tcPr>
          <w:p w:rsidR="002916E8" w:rsidRPr="007604E0" w:rsidRDefault="002916E8" w:rsidP="002916E8">
            <w:pPr>
              <w:spacing w:after="140"/>
              <w:rPr>
                <w:rFonts w:ascii="Sabon" w:hAnsi="Sabon"/>
                <w:sz w:val="22"/>
                <w:szCs w:val="22"/>
              </w:rPr>
            </w:pPr>
            <w:r w:rsidRPr="007604E0">
              <w:rPr>
                <w:rFonts w:ascii="Sabon" w:hAnsi="Sabon"/>
                <w:sz w:val="22"/>
                <w:szCs w:val="22"/>
              </w:rPr>
              <w:t>Total employee jobs in sectors with high incidence of low pay</w:t>
            </w:r>
          </w:p>
        </w:tc>
        <w:tc>
          <w:tcPr>
            <w:tcW w:w="1471" w:type="dxa"/>
          </w:tcPr>
          <w:p w:rsidR="002916E8" w:rsidRPr="007604E0" w:rsidRDefault="00FC4D15" w:rsidP="002916E8">
            <w:pPr>
              <w:spacing w:after="140"/>
              <w:rPr>
                <w:rFonts w:ascii="Sabon" w:hAnsi="Sabon"/>
                <w:sz w:val="22"/>
                <w:szCs w:val="22"/>
              </w:rPr>
            </w:pPr>
            <w:r w:rsidRPr="007604E0">
              <w:rPr>
                <w:rFonts w:ascii="Sabon" w:hAnsi="Sabon"/>
                <w:sz w:val="22"/>
                <w:szCs w:val="22"/>
              </w:rPr>
              <w:t>6,593</w:t>
            </w:r>
          </w:p>
        </w:tc>
        <w:tc>
          <w:tcPr>
            <w:tcW w:w="1578" w:type="dxa"/>
          </w:tcPr>
          <w:p w:rsidR="002916E8" w:rsidRPr="007604E0" w:rsidRDefault="00116ED7" w:rsidP="002916E8">
            <w:pPr>
              <w:spacing w:after="140"/>
              <w:rPr>
                <w:rFonts w:ascii="Sabon" w:hAnsi="Sabon"/>
                <w:sz w:val="22"/>
                <w:szCs w:val="22"/>
              </w:rPr>
            </w:pPr>
            <w:r w:rsidRPr="007604E0">
              <w:rPr>
                <w:rFonts w:ascii="Sabon" w:hAnsi="Sabon"/>
                <w:sz w:val="22"/>
                <w:szCs w:val="22"/>
              </w:rPr>
              <w:t>6,792</w:t>
            </w:r>
          </w:p>
        </w:tc>
        <w:tc>
          <w:tcPr>
            <w:tcW w:w="1412" w:type="dxa"/>
          </w:tcPr>
          <w:p w:rsidR="002916E8" w:rsidRPr="007604E0" w:rsidRDefault="002916E8" w:rsidP="00116ED7">
            <w:pPr>
              <w:spacing w:after="140"/>
              <w:rPr>
                <w:rFonts w:ascii="Sabon" w:hAnsi="Sabon"/>
                <w:sz w:val="22"/>
                <w:szCs w:val="22"/>
              </w:rPr>
            </w:pPr>
            <w:r w:rsidRPr="007604E0">
              <w:rPr>
                <w:rFonts w:ascii="Sabon" w:hAnsi="Sabon"/>
                <w:sz w:val="22"/>
                <w:szCs w:val="22"/>
              </w:rPr>
              <w:t>+19</w:t>
            </w:r>
            <w:r w:rsidR="00116ED7" w:rsidRPr="007604E0">
              <w:rPr>
                <w:rFonts w:ascii="Sabon" w:hAnsi="Sabon"/>
                <w:sz w:val="22"/>
                <w:szCs w:val="22"/>
              </w:rPr>
              <w:t>9</w:t>
            </w:r>
          </w:p>
        </w:tc>
        <w:tc>
          <w:tcPr>
            <w:tcW w:w="1190" w:type="dxa"/>
          </w:tcPr>
          <w:p w:rsidR="002916E8" w:rsidRPr="007604E0" w:rsidRDefault="002916E8" w:rsidP="00116ED7">
            <w:pPr>
              <w:spacing w:after="140"/>
              <w:rPr>
                <w:rFonts w:ascii="Sabon" w:hAnsi="Sabon"/>
                <w:sz w:val="22"/>
                <w:szCs w:val="22"/>
              </w:rPr>
            </w:pPr>
            <w:r w:rsidRPr="007604E0">
              <w:rPr>
                <w:rFonts w:ascii="Sabon" w:hAnsi="Sabon"/>
                <w:sz w:val="22"/>
                <w:szCs w:val="22"/>
              </w:rPr>
              <w:t>+</w:t>
            </w:r>
            <w:r w:rsidR="00116ED7" w:rsidRPr="007604E0">
              <w:rPr>
                <w:rFonts w:ascii="Sabon" w:hAnsi="Sabon"/>
                <w:sz w:val="22"/>
                <w:szCs w:val="22"/>
              </w:rPr>
              <w:t>3.0%</w:t>
            </w:r>
            <w:r w:rsidRPr="007604E0">
              <w:rPr>
                <w:rFonts w:ascii="Sabon" w:hAnsi="Sabon"/>
                <w:sz w:val="22"/>
                <w:szCs w:val="22"/>
              </w:rPr>
              <w:t>%</w:t>
            </w:r>
          </w:p>
        </w:tc>
      </w:tr>
      <w:tr w:rsidR="002916E8" w:rsidRPr="00C3702C" w:rsidTr="002916E8">
        <w:tc>
          <w:tcPr>
            <w:tcW w:w="2387" w:type="dxa"/>
          </w:tcPr>
          <w:p w:rsidR="002916E8" w:rsidRPr="007604E0" w:rsidRDefault="002916E8" w:rsidP="002916E8">
            <w:pPr>
              <w:spacing w:after="140"/>
              <w:rPr>
                <w:rFonts w:ascii="Sabon" w:hAnsi="Sabon"/>
                <w:sz w:val="22"/>
                <w:szCs w:val="22"/>
              </w:rPr>
            </w:pPr>
            <w:r w:rsidRPr="007604E0">
              <w:rPr>
                <w:rFonts w:ascii="Sabon" w:hAnsi="Sabon"/>
                <w:sz w:val="22"/>
                <w:szCs w:val="22"/>
              </w:rPr>
              <w:t>Non-low paying sectors</w:t>
            </w:r>
          </w:p>
        </w:tc>
        <w:tc>
          <w:tcPr>
            <w:tcW w:w="1471" w:type="dxa"/>
          </w:tcPr>
          <w:p w:rsidR="002916E8" w:rsidRPr="007604E0" w:rsidRDefault="00116ED7" w:rsidP="002916E8">
            <w:pPr>
              <w:spacing w:after="140"/>
              <w:rPr>
                <w:rFonts w:ascii="Sabon" w:hAnsi="Sabon"/>
                <w:sz w:val="22"/>
                <w:szCs w:val="22"/>
              </w:rPr>
            </w:pPr>
            <w:r w:rsidRPr="007604E0">
              <w:rPr>
                <w:rFonts w:ascii="Sabon" w:hAnsi="Sabon"/>
                <w:sz w:val="22"/>
                <w:szCs w:val="22"/>
              </w:rPr>
              <w:t>18,566</w:t>
            </w:r>
          </w:p>
        </w:tc>
        <w:tc>
          <w:tcPr>
            <w:tcW w:w="1578" w:type="dxa"/>
          </w:tcPr>
          <w:p w:rsidR="002916E8" w:rsidRPr="007604E0" w:rsidRDefault="00116ED7" w:rsidP="002916E8">
            <w:pPr>
              <w:spacing w:after="140"/>
              <w:rPr>
                <w:rFonts w:ascii="Sabon" w:hAnsi="Sabon"/>
                <w:sz w:val="22"/>
                <w:szCs w:val="22"/>
              </w:rPr>
            </w:pPr>
            <w:r w:rsidRPr="007604E0">
              <w:rPr>
                <w:rFonts w:ascii="Sabon" w:hAnsi="Sabon"/>
                <w:sz w:val="22"/>
                <w:szCs w:val="22"/>
              </w:rPr>
              <w:t>18,734</w:t>
            </w:r>
          </w:p>
        </w:tc>
        <w:tc>
          <w:tcPr>
            <w:tcW w:w="1412" w:type="dxa"/>
          </w:tcPr>
          <w:p w:rsidR="002916E8" w:rsidRPr="007604E0" w:rsidRDefault="002916E8" w:rsidP="00116ED7">
            <w:pPr>
              <w:spacing w:after="140"/>
              <w:rPr>
                <w:rFonts w:ascii="Sabon" w:hAnsi="Sabon"/>
                <w:sz w:val="22"/>
                <w:szCs w:val="22"/>
              </w:rPr>
            </w:pPr>
            <w:r w:rsidRPr="007604E0">
              <w:rPr>
                <w:rFonts w:ascii="Sabon" w:hAnsi="Sabon"/>
                <w:sz w:val="22"/>
                <w:szCs w:val="22"/>
              </w:rPr>
              <w:t>+</w:t>
            </w:r>
            <w:r w:rsidR="00116ED7" w:rsidRPr="007604E0">
              <w:rPr>
                <w:rFonts w:ascii="Sabon" w:hAnsi="Sabon"/>
                <w:sz w:val="22"/>
                <w:szCs w:val="22"/>
              </w:rPr>
              <w:t>168</w:t>
            </w:r>
          </w:p>
        </w:tc>
        <w:tc>
          <w:tcPr>
            <w:tcW w:w="1190" w:type="dxa"/>
          </w:tcPr>
          <w:p w:rsidR="002916E8" w:rsidRPr="007604E0" w:rsidRDefault="002916E8" w:rsidP="00116ED7">
            <w:pPr>
              <w:spacing w:after="140"/>
              <w:rPr>
                <w:rFonts w:ascii="Sabon" w:hAnsi="Sabon"/>
                <w:sz w:val="22"/>
                <w:szCs w:val="22"/>
              </w:rPr>
            </w:pPr>
            <w:r w:rsidRPr="007604E0">
              <w:rPr>
                <w:rFonts w:ascii="Sabon" w:hAnsi="Sabon"/>
                <w:sz w:val="22"/>
                <w:szCs w:val="22"/>
              </w:rPr>
              <w:t>+</w:t>
            </w:r>
            <w:r w:rsidR="00116ED7" w:rsidRPr="007604E0">
              <w:rPr>
                <w:rFonts w:ascii="Sabon" w:hAnsi="Sabon"/>
                <w:sz w:val="22"/>
                <w:szCs w:val="22"/>
              </w:rPr>
              <w:t>0.9</w:t>
            </w:r>
            <w:r w:rsidRPr="007604E0">
              <w:rPr>
                <w:rFonts w:ascii="Sabon" w:hAnsi="Sabon"/>
                <w:sz w:val="22"/>
                <w:szCs w:val="22"/>
              </w:rPr>
              <w:t>%</w:t>
            </w:r>
          </w:p>
        </w:tc>
      </w:tr>
      <w:tr w:rsidR="002916E8" w:rsidRPr="00C3702C" w:rsidTr="002916E8">
        <w:tc>
          <w:tcPr>
            <w:tcW w:w="2387" w:type="dxa"/>
          </w:tcPr>
          <w:p w:rsidR="002916E8" w:rsidRPr="00EC0B00" w:rsidRDefault="002916E8" w:rsidP="002916E8">
            <w:pPr>
              <w:spacing w:after="140"/>
              <w:rPr>
                <w:rFonts w:ascii="Sabon" w:hAnsi="Sabon"/>
                <w:b/>
                <w:sz w:val="22"/>
                <w:szCs w:val="22"/>
              </w:rPr>
            </w:pPr>
            <w:r w:rsidRPr="000960B3">
              <w:rPr>
                <w:rFonts w:ascii="Sabon" w:hAnsi="Sabon"/>
                <w:b/>
                <w:sz w:val="22"/>
                <w:szCs w:val="22"/>
              </w:rPr>
              <w:t>All employee jobs</w:t>
            </w:r>
          </w:p>
        </w:tc>
        <w:tc>
          <w:tcPr>
            <w:tcW w:w="1471" w:type="dxa"/>
          </w:tcPr>
          <w:p w:rsidR="002916E8" w:rsidRPr="00EC0B00" w:rsidRDefault="00FC4D15" w:rsidP="002916E8">
            <w:pPr>
              <w:spacing w:after="140"/>
              <w:rPr>
                <w:rFonts w:ascii="Sabon" w:hAnsi="Sabon"/>
                <w:b/>
                <w:sz w:val="22"/>
                <w:szCs w:val="22"/>
              </w:rPr>
            </w:pPr>
            <w:r>
              <w:rPr>
                <w:rFonts w:ascii="Sabon" w:hAnsi="Sabon"/>
                <w:b/>
                <w:sz w:val="22"/>
                <w:szCs w:val="22"/>
              </w:rPr>
              <w:t>25,159</w:t>
            </w:r>
          </w:p>
        </w:tc>
        <w:tc>
          <w:tcPr>
            <w:tcW w:w="1578" w:type="dxa"/>
          </w:tcPr>
          <w:p w:rsidR="002916E8" w:rsidRPr="00EC0B00" w:rsidRDefault="00FC4D15" w:rsidP="00FC4D15">
            <w:pPr>
              <w:spacing w:after="140"/>
              <w:rPr>
                <w:rFonts w:ascii="Sabon" w:hAnsi="Sabon"/>
                <w:b/>
                <w:sz w:val="22"/>
                <w:szCs w:val="22"/>
              </w:rPr>
            </w:pPr>
            <w:r>
              <w:rPr>
                <w:rFonts w:ascii="Sabon" w:hAnsi="Sabon"/>
                <w:b/>
                <w:sz w:val="22"/>
                <w:szCs w:val="22"/>
              </w:rPr>
              <w:t>25,526</w:t>
            </w:r>
          </w:p>
        </w:tc>
        <w:tc>
          <w:tcPr>
            <w:tcW w:w="1412" w:type="dxa"/>
          </w:tcPr>
          <w:p w:rsidR="002916E8" w:rsidRPr="00EC0B00" w:rsidRDefault="002916E8" w:rsidP="00FC4D15">
            <w:pPr>
              <w:spacing w:after="140"/>
              <w:rPr>
                <w:rFonts w:ascii="Sabon" w:hAnsi="Sabon"/>
                <w:b/>
                <w:sz w:val="22"/>
                <w:szCs w:val="22"/>
              </w:rPr>
            </w:pPr>
            <w:r w:rsidRPr="000960B3">
              <w:rPr>
                <w:rFonts w:ascii="Sabon" w:hAnsi="Sabon"/>
                <w:b/>
                <w:sz w:val="22"/>
                <w:szCs w:val="22"/>
              </w:rPr>
              <w:t>+</w:t>
            </w:r>
            <w:r w:rsidR="00FC4D15">
              <w:rPr>
                <w:rFonts w:ascii="Sabon" w:hAnsi="Sabon"/>
                <w:b/>
                <w:sz w:val="22"/>
                <w:szCs w:val="22"/>
              </w:rPr>
              <w:t>367</w:t>
            </w:r>
          </w:p>
        </w:tc>
        <w:tc>
          <w:tcPr>
            <w:tcW w:w="1190" w:type="dxa"/>
          </w:tcPr>
          <w:p w:rsidR="002916E8" w:rsidRPr="002916E8" w:rsidRDefault="002916E8" w:rsidP="00FC4D15">
            <w:pPr>
              <w:spacing w:after="140"/>
              <w:rPr>
                <w:rFonts w:ascii="Sabon" w:hAnsi="Sabon"/>
                <w:b/>
                <w:sz w:val="22"/>
                <w:szCs w:val="22"/>
              </w:rPr>
            </w:pPr>
            <w:r w:rsidRPr="002916E8">
              <w:rPr>
                <w:rFonts w:ascii="Sabon" w:hAnsi="Sabon"/>
                <w:b/>
                <w:sz w:val="22"/>
                <w:szCs w:val="22"/>
              </w:rPr>
              <w:t>+</w:t>
            </w:r>
            <w:r w:rsidR="00FC4D15">
              <w:rPr>
                <w:rFonts w:ascii="Sabon" w:hAnsi="Sabon"/>
                <w:b/>
                <w:sz w:val="22"/>
                <w:szCs w:val="22"/>
              </w:rPr>
              <w:t>1.5</w:t>
            </w:r>
            <w:r w:rsidRPr="002916E8">
              <w:rPr>
                <w:rFonts w:ascii="Sabon" w:hAnsi="Sabon"/>
                <w:b/>
                <w:sz w:val="22"/>
                <w:szCs w:val="22"/>
              </w:rPr>
              <w:t>%</w:t>
            </w:r>
          </w:p>
        </w:tc>
      </w:tr>
    </w:tbl>
    <w:p w:rsidR="002916E8" w:rsidRDefault="002916E8" w:rsidP="002916E8">
      <w:pPr>
        <w:pStyle w:val="T11TextBody"/>
        <w:spacing w:line="280" w:lineRule="exact"/>
        <w:rPr>
          <w:rFonts w:ascii="Sabon" w:hAnsi="Sabon"/>
          <w:sz w:val="18"/>
          <w:szCs w:val="18"/>
        </w:rPr>
      </w:pPr>
      <w:r w:rsidRPr="00B300DE">
        <w:rPr>
          <w:rFonts w:ascii="Sabon" w:hAnsi="Sabon"/>
          <w:sz w:val="18"/>
          <w:szCs w:val="18"/>
        </w:rPr>
        <w:t xml:space="preserve">Source: </w:t>
      </w:r>
      <w:r>
        <w:rPr>
          <w:rFonts w:ascii="Sabon" w:hAnsi="Sabon"/>
          <w:sz w:val="18"/>
          <w:szCs w:val="18"/>
        </w:rPr>
        <w:t>LFS spring quarters</w:t>
      </w:r>
      <w:r w:rsidR="002B25E5">
        <w:rPr>
          <w:rFonts w:ascii="Sabon" w:hAnsi="Sabon"/>
          <w:sz w:val="18"/>
          <w:szCs w:val="18"/>
        </w:rPr>
        <w:t>, employees</w:t>
      </w:r>
      <w:r w:rsidR="006C6E9C">
        <w:rPr>
          <w:rFonts w:ascii="Sabon" w:hAnsi="Sabon"/>
          <w:sz w:val="18"/>
          <w:szCs w:val="18"/>
        </w:rPr>
        <w:t xml:space="preserve"> in </w:t>
      </w:r>
      <w:r>
        <w:rPr>
          <w:rFonts w:ascii="Sabon" w:hAnsi="Sabon"/>
          <w:sz w:val="18"/>
          <w:szCs w:val="18"/>
        </w:rPr>
        <w:t>main job only</w:t>
      </w:r>
      <w:r w:rsidR="00882789">
        <w:rPr>
          <w:rFonts w:ascii="Sabon" w:hAnsi="Sabon"/>
          <w:sz w:val="18"/>
          <w:szCs w:val="18"/>
        </w:rPr>
        <w:t xml:space="preserve"> (e.g. excludes second jobs</w:t>
      </w:r>
      <w:r w:rsidR="00545942">
        <w:rPr>
          <w:rFonts w:ascii="Sabon" w:hAnsi="Sabon"/>
          <w:sz w:val="18"/>
          <w:szCs w:val="18"/>
        </w:rPr>
        <w:t>.</w:t>
      </w:r>
    </w:p>
    <w:p w:rsidR="002916E8" w:rsidRDefault="002916E8" w:rsidP="00963446">
      <w:pPr>
        <w:pStyle w:val="T5TextHeadng"/>
        <w:rPr>
          <w:rFonts w:ascii="Sabon" w:hAnsi="Sabon"/>
          <w:b w:val="0"/>
        </w:rPr>
      </w:pPr>
    </w:p>
    <w:p w:rsidR="00963446" w:rsidRDefault="003D791C" w:rsidP="00963446">
      <w:pPr>
        <w:pStyle w:val="T5TextHeadng"/>
      </w:pPr>
      <w:r>
        <w:t>4</w:t>
      </w:r>
      <w:r w:rsidR="00963446">
        <w:t xml:space="preserve">: </w:t>
      </w:r>
      <w:r w:rsidR="0048264B">
        <w:t xml:space="preserve">Future prospects </w:t>
      </w:r>
      <w:r w:rsidR="00963446">
        <w:t xml:space="preserve">for the UK economy </w:t>
      </w:r>
    </w:p>
    <w:p w:rsidR="00927831" w:rsidRPr="003874DE" w:rsidRDefault="00963446" w:rsidP="003874DE">
      <w:pPr>
        <w:pStyle w:val="T5TextBody"/>
        <w:spacing w:line="276" w:lineRule="auto"/>
        <w:rPr>
          <w:szCs w:val="22"/>
        </w:rPr>
      </w:pPr>
      <w:r w:rsidRPr="003874DE">
        <w:rPr>
          <w:szCs w:val="22"/>
        </w:rPr>
        <w:t xml:space="preserve">The LPC is currently considering </w:t>
      </w:r>
      <w:r w:rsidR="00927831" w:rsidRPr="003874DE">
        <w:rPr>
          <w:szCs w:val="22"/>
        </w:rPr>
        <w:t xml:space="preserve">the appropriate </w:t>
      </w:r>
      <w:r w:rsidRPr="003874DE">
        <w:rPr>
          <w:szCs w:val="22"/>
        </w:rPr>
        <w:t>rates to apply for the period from October 201</w:t>
      </w:r>
      <w:r w:rsidR="00927831" w:rsidRPr="003874DE">
        <w:rPr>
          <w:szCs w:val="22"/>
        </w:rPr>
        <w:t>5</w:t>
      </w:r>
      <w:r w:rsidRPr="003874DE">
        <w:rPr>
          <w:szCs w:val="22"/>
        </w:rPr>
        <w:t xml:space="preserve"> until September 201</w:t>
      </w:r>
      <w:r w:rsidR="00927831" w:rsidRPr="003874DE">
        <w:rPr>
          <w:szCs w:val="22"/>
        </w:rPr>
        <w:t>6</w:t>
      </w:r>
      <w:r w:rsidRPr="003874DE">
        <w:rPr>
          <w:szCs w:val="22"/>
        </w:rPr>
        <w:t xml:space="preserve">. </w:t>
      </w:r>
      <w:r w:rsidR="0093010E" w:rsidRPr="003874DE">
        <w:rPr>
          <w:szCs w:val="22"/>
        </w:rPr>
        <w:t xml:space="preserve">The </w:t>
      </w:r>
      <w:r w:rsidR="00877FD0" w:rsidRPr="003874DE">
        <w:rPr>
          <w:szCs w:val="22"/>
        </w:rPr>
        <w:t>Commission</w:t>
      </w:r>
      <w:r w:rsidR="0093010E" w:rsidRPr="003874DE">
        <w:rPr>
          <w:szCs w:val="22"/>
        </w:rPr>
        <w:t xml:space="preserve"> will want </w:t>
      </w:r>
      <w:r w:rsidRPr="003874DE">
        <w:rPr>
          <w:szCs w:val="22"/>
        </w:rPr>
        <w:t xml:space="preserve">to </w:t>
      </w:r>
      <w:r w:rsidR="00927831" w:rsidRPr="003874DE">
        <w:rPr>
          <w:szCs w:val="22"/>
        </w:rPr>
        <w:t>set rates that will help low paid workers as much as possible without generating any negative economic side-effects.</w:t>
      </w:r>
    </w:p>
    <w:p w:rsidR="006E5BBD" w:rsidRPr="003874DE" w:rsidRDefault="000330E8" w:rsidP="003874DE">
      <w:pPr>
        <w:pStyle w:val="T5TextBody"/>
        <w:spacing w:line="276" w:lineRule="auto"/>
        <w:rPr>
          <w:szCs w:val="22"/>
        </w:rPr>
      </w:pPr>
      <w:r w:rsidRPr="003874DE">
        <w:rPr>
          <w:szCs w:val="22"/>
        </w:rPr>
        <w:t xml:space="preserve">The Bank of </w:t>
      </w:r>
      <w:r w:rsidR="008E01AD" w:rsidRPr="003874DE">
        <w:rPr>
          <w:szCs w:val="22"/>
        </w:rPr>
        <w:t>England</w:t>
      </w:r>
      <w:r w:rsidRPr="003874DE">
        <w:rPr>
          <w:szCs w:val="22"/>
        </w:rPr>
        <w:t xml:space="preserve"> </w:t>
      </w:r>
      <w:r w:rsidR="006E5BBD" w:rsidRPr="003874DE">
        <w:rPr>
          <w:szCs w:val="22"/>
        </w:rPr>
        <w:t>has now become much more certain that the recovery is entrenched</w:t>
      </w:r>
      <w:r w:rsidR="0048264B">
        <w:rPr>
          <w:szCs w:val="22"/>
        </w:rPr>
        <w:t>, recently stating that</w:t>
      </w:r>
      <w:r w:rsidR="006E5BBD" w:rsidRPr="003874DE">
        <w:rPr>
          <w:szCs w:val="22"/>
        </w:rPr>
        <w:t>:</w:t>
      </w:r>
    </w:p>
    <w:p w:rsidR="006E5BBD" w:rsidRPr="003874DE" w:rsidRDefault="006E5BBD" w:rsidP="003874DE">
      <w:pPr>
        <w:pStyle w:val="T5TextBody"/>
        <w:spacing w:line="276" w:lineRule="auto"/>
        <w:rPr>
          <w:szCs w:val="22"/>
        </w:rPr>
      </w:pPr>
      <w:r w:rsidRPr="003874DE">
        <w:rPr>
          <w:szCs w:val="22"/>
        </w:rPr>
        <w:t>“</w:t>
      </w:r>
      <w:r w:rsidR="00545942" w:rsidRPr="003874DE">
        <w:rPr>
          <w:szCs w:val="22"/>
        </w:rPr>
        <w:t>The</w:t>
      </w:r>
      <w:r w:rsidRPr="003874DE">
        <w:rPr>
          <w:szCs w:val="22"/>
        </w:rPr>
        <w:t xml:space="preserve"> domestic </w:t>
      </w:r>
      <w:r w:rsidR="00545942" w:rsidRPr="003874DE">
        <w:rPr>
          <w:szCs w:val="22"/>
        </w:rPr>
        <w:t>recovery</w:t>
      </w:r>
      <w:r w:rsidRPr="003874DE">
        <w:rPr>
          <w:szCs w:val="22"/>
        </w:rPr>
        <w:t xml:space="preserve"> has continued to broaden, with robust spending by </w:t>
      </w:r>
      <w:r w:rsidR="00545942" w:rsidRPr="003874DE">
        <w:rPr>
          <w:szCs w:val="22"/>
        </w:rPr>
        <w:t>businesses</w:t>
      </w:r>
      <w:r w:rsidRPr="003874DE">
        <w:rPr>
          <w:szCs w:val="22"/>
        </w:rPr>
        <w:t xml:space="preserve"> and households, supported by lower uncertainty and </w:t>
      </w:r>
      <w:r w:rsidR="00545942" w:rsidRPr="003874DE">
        <w:rPr>
          <w:szCs w:val="22"/>
        </w:rPr>
        <w:t>continuing</w:t>
      </w:r>
      <w:r w:rsidRPr="003874DE">
        <w:rPr>
          <w:szCs w:val="22"/>
        </w:rPr>
        <w:t xml:space="preserve"> </w:t>
      </w:r>
      <w:r w:rsidR="00545942" w:rsidRPr="003874DE">
        <w:rPr>
          <w:szCs w:val="22"/>
        </w:rPr>
        <w:t>improvements</w:t>
      </w:r>
      <w:r w:rsidRPr="003874DE">
        <w:rPr>
          <w:szCs w:val="22"/>
        </w:rPr>
        <w:t xml:space="preserve"> in credit conditions. Four-</w:t>
      </w:r>
      <w:r w:rsidR="00545942" w:rsidRPr="003874DE">
        <w:rPr>
          <w:szCs w:val="22"/>
        </w:rPr>
        <w:t>quarter</w:t>
      </w:r>
      <w:r w:rsidRPr="003874DE">
        <w:rPr>
          <w:szCs w:val="22"/>
        </w:rPr>
        <w:t xml:space="preserve"> growth in business investment reached 11 per </w:t>
      </w:r>
      <w:r w:rsidR="00545942" w:rsidRPr="003874DE">
        <w:rPr>
          <w:szCs w:val="22"/>
        </w:rPr>
        <w:t>cent</w:t>
      </w:r>
      <w:r w:rsidRPr="003874DE">
        <w:rPr>
          <w:szCs w:val="22"/>
        </w:rPr>
        <w:t xml:space="preserve"> in 2014 Q1 and </w:t>
      </w:r>
      <w:r w:rsidR="00545942" w:rsidRPr="003874DE">
        <w:rPr>
          <w:szCs w:val="22"/>
        </w:rPr>
        <w:t>business</w:t>
      </w:r>
      <w:r w:rsidRPr="003874DE">
        <w:rPr>
          <w:szCs w:val="22"/>
        </w:rPr>
        <w:t xml:space="preserve"> surveys point </w:t>
      </w:r>
      <w:r w:rsidR="00545942" w:rsidRPr="003874DE">
        <w:rPr>
          <w:szCs w:val="22"/>
        </w:rPr>
        <w:t>to</w:t>
      </w:r>
      <w:r w:rsidRPr="003874DE">
        <w:rPr>
          <w:szCs w:val="22"/>
        </w:rPr>
        <w:t xml:space="preserve"> </w:t>
      </w:r>
      <w:r w:rsidR="00545942" w:rsidRPr="003874DE">
        <w:rPr>
          <w:szCs w:val="22"/>
        </w:rPr>
        <w:t>strength</w:t>
      </w:r>
      <w:r w:rsidRPr="003874DE">
        <w:rPr>
          <w:szCs w:val="22"/>
        </w:rPr>
        <w:t xml:space="preserve"> </w:t>
      </w:r>
      <w:r w:rsidR="00545942" w:rsidRPr="003874DE">
        <w:rPr>
          <w:szCs w:val="22"/>
        </w:rPr>
        <w:t>continuing</w:t>
      </w:r>
      <w:r w:rsidRPr="003874DE">
        <w:rPr>
          <w:szCs w:val="22"/>
        </w:rPr>
        <w:t>.”</w:t>
      </w:r>
      <w:r w:rsidRPr="003874DE">
        <w:rPr>
          <w:rStyle w:val="FootnoteReference"/>
          <w:sz w:val="22"/>
          <w:szCs w:val="22"/>
        </w:rPr>
        <w:footnoteReference w:id="17"/>
      </w:r>
    </w:p>
    <w:p w:rsidR="00087B93" w:rsidRPr="003874DE" w:rsidRDefault="00087B93" w:rsidP="003874DE">
      <w:pPr>
        <w:pStyle w:val="T5TextBody"/>
        <w:spacing w:line="276" w:lineRule="auto"/>
        <w:rPr>
          <w:szCs w:val="22"/>
        </w:rPr>
      </w:pPr>
      <w:r w:rsidRPr="003874DE">
        <w:rPr>
          <w:szCs w:val="22"/>
        </w:rPr>
        <w:t>T</w:t>
      </w:r>
      <w:r w:rsidR="00877FD0" w:rsidRPr="003874DE">
        <w:rPr>
          <w:szCs w:val="22"/>
        </w:rPr>
        <w:t>he economic predictions for the UK</w:t>
      </w:r>
      <w:r w:rsidR="00BE2BAE" w:rsidRPr="003874DE">
        <w:rPr>
          <w:rStyle w:val="FootnoteReference"/>
          <w:sz w:val="22"/>
          <w:szCs w:val="22"/>
        </w:rPr>
        <w:footnoteReference w:id="18"/>
      </w:r>
      <w:r w:rsidR="00877FD0" w:rsidRPr="003874DE">
        <w:rPr>
          <w:szCs w:val="22"/>
        </w:rPr>
        <w:t xml:space="preserve"> show improvement for the next two years</w:t>
      </w:r>
      <w:r w:rsidRPr="003874DE">
        <w:rPr>
          <w:szCs w:val="22"/>
        </w:rPr>
        <w:t xml:space="preserve">. Whilst such predictions </w:t>
      </w:r>
      <w:r w:rsidR="00A25A79" w:rsidRPr="003874DE">
        <w:rPr>
          <w:szCs w:val="22"/>
        </w:rPr>
        <w:t>are of course fallible</w:t>
      </w:r>
      <w:r w:rsidRPr="003874DE">
        <w:rPr>
          <w:szCs w:val="22"/>
        </w:rPr>
        <w:t xml:space="preserve">, there is </w:t>
      </w:r>
      <w:r w:rsidR="00A82A2B" w:rsidRPr="003874DE">
        <w:rPr>
          <w:szCs w:val="22"/>
        </w:rPr>
        <w:t>a strongly</w:t>
      </w:r>
      <w:r w:rsidR="00A054E7" w:rsidRPr="003874DE">
        <w:rPr>
          <w:szCs w:val="22"/>
        </w:rPr>
        <w:t xml:space="preserve"> held</w:t>
      </w:r>
      <w:r w:rsidR="00A25A79" w:rsidRPr="003874DE">
        <w:rPr>
          <w:szCs w:val="22"/>
        </w:rPr>
        <w:t xml:space="preserve"> </w:t>
      </w:r>
      <w:r w:rsidR="00A054E7" w:rsidRPr="003874DE">
        <w:rPr>
          <w:szCs w:val="22"/>
        </w:rPr>
        <w:t xml:space="preserve">general </w:t>
      </w:r>
      <w:r w:rsidRPr="003874DE">
        <w:rPr>
          <w:szCs w:val="22"/>
        </w:rPr>
        <w:t>consensus amongst economists that the recovery is taking a firmer hold.</w:t>
      </w:r>
    </w:p>
    <w:p w:rsidR="00A25A79" w:rsidRPr="003874DE" w:rsidRDefault="00087B93" w:rsidP="003874DE">
      <w:pPr>
        <w:pStyle w:val="T5TextBody"/>
        <w:spacing w:line="276" w:lineRule="auto"/>
        <w:rPr>
          <w:szCs w:val="22"/>
        </w:rPr>
      </w:pPr>
      <w:r w:rsidRPr="003874DE">
        <w:rPr>
          <w:szCs w:val="22"/>
        </w:rPr>
        <w:t xml:space="preserve">The </w:t>
      </w:r>
      <w:r w:rsidR="008E01AD" w:rsidRPr="003874DE">
        <w:rPr>
          <w:szCs w:val="22"/>
        </w:rPr>
        <w:t>first</w:t>
      </w:r>
      <w:r w:rsidRPr="003874DE">
        <w:rPr>
          <w:szCs w:val="22"/>
        </w:rPr>
        <w:t xml:space="preserve"> </w:t>
      </w:r>
      <w:r w:rsidR="008E01AD" w:rsidRPr="003874DE">
        <w:rPr>
          <w:szCs w:val="22"/>
        </w:rPr>
        <w:t>quarter’s</w:t>
      </w:r>
      <w:r w:rsidRPr="003874DE">
        <w:rPr>
          <w:szCs w:val="22"/>
        </w:rPr>
        <w:t xml:space="preserve"> figures for 2014 saw an annual increase of 3.1 per </w:t>
      </w:r>
      <w:r w:rsidR="008E01AD" w:rsidRPr="003874DE">
        <w:rPr>
          <w:szCs w:val="22"/>
        </w:rPr>
        <w:t>cent</w:t>
      </w:r>
      <w:r w:rsidRPr="003874DE">
        <w:rPr>
          <w:szCs w:val="22"/>
        </w:rPr>
        <w:t xml:space="preserve"> in GDP, which was rather above the long</w:t>
      </w:r>
      <w:r w:rsidR="0048264B">
        <w:rPr>
          <w:szCs w:val="22"/>
        </w:rPr>
        <w:t>-</w:t>
      </w:r>
      <w:r w:rsidR="008E01AD" w:rsidRPr="003874DE">
        <w:rPr>
          <w:szCs w:val="22"/>
        </w:rPr>
        <w:t>term</w:t>
      </w:r>
      <w:r w:rsidRPr="003874DE">
        <w:rPr>
          <w:szCs w:val="22"/>
        </w:rPr>
        <w:t xml:space="preserve"> trend</w:t>
      </w:r>
      <w:r w:rsidRPr="003874DE">
        <w:rPr>
          <w:rStyle w:val="FootnoteReference"/>
          <w:sz w:val="22"/>
          <w:szCs w:val="22"/>
        </w:rPr>
        <w:footnoteReference w:id="19"/>
      </w:r>
      <w:r w:rsidRPr="003874DE">
        <w:rPr>
          <w:szCs w:val="22"/>
        </w:rPr>
        <w:t>.</w:t>
      </w:r>
      <w:r w:rsidR="006B6995" w:rsidRPr="003874DE">
        <w:rPr>
          <w:szCs w:val="22"/>
        </w:rPr>
        <w:t xml:space="preserve"> </w:t>
      </w:r>
      <w:r w:rsidR="00F73A4F" w:rsidRPr="003874DE">
        <w:rPr>
          <w:szCs w:val="22"/>
        </w:rPr>
        <w:t>Economic g</w:t>
      </w:r>
      <w:r w:rsidR="006B6995" w:rsidRPr="003874DE">
        <w:rPr>
          <w:szCs w:val="22"/>
        </w:rPr>
        <w:t xml:space="preserve">rowth is expected to </w:t>
      </w:r>
      <w:r w:rsidR="00F73A4F" w:rsidRPr="003874DE">
        <w:rPr>
          <w:szCs w:val="22"/>
        </w:rPr>
        <w:t xml:space="preserve">settle down </w:t>
      </w:r>
      <w:r w:rsidR="006B6995" w:rsidRPr="003874DE">
        <w:rPr>
          <w:szCs w:val="22"/>
        </w:rPr>
        <w:t xml:space="preserve">near to </w:t>
      </w:r>
      <w:r w:rsidR="00A25A79" w:rsidRPr="003874DE">
        <w:rPr>
          <w:szCs w:val="22"/>
        </w:rPr>
        <w:t xml:space="preserve">nearer its long-term </w:t>
      </w:r>
      <w:r w:rsidR="006B6995" w:rsidRPr="003874DE">
        <w:rPr>
          <w:szCs w:val="22"/>
        </w:rPr>
        <w:t>trend in 201</w:t>
      </w:r>
      <w:r w:rsidR="00F73A4F" w:rsidRPr="003874DE">
        <w:rPr>
          <w:szCs w:val="22"/>
        </w:rPr>
        <w:t>5 and 2016</w:t>
      </w:r>
      <w:r w:rsidR="006E5BBD" w:rsidRPr="003874DE">
        <w:rPr>
          <w:rStyle w:val="FootnoteReference"/>
          <w:sz w:val="22"/>
          <w:szCs w:val="22"/>
        </w:rPr>
        <w:footnoteReference w:id="20"/>
      </w:r>
      <w:r w:rsidR="006B6995" w:rsidRPr="003874DE">
        <w:rPr>
          <w:szCs w:val="22"/>
        </w:rPr>
        <w:t>.</w:t>
      </w:r>
      <w:r w:rsidR="00A25A79" w:rsidRPr="003874DE">
        <w:rPr>
          <w:szCs w:val="22"/>
        </w:rPr>
        <w:t xml:space="preserve"> Employment has been increasing and unemployment falling and this looks set to continue. Inflation, which has certainly not been driven by earnings, has also now abated to a rate that is below the long</w:t>
      </w:r>
      <w:r w:rsidR="00A054E7" w:rsidRPr="003874DE">
        <w:rPr>
          <w:szCs w:val="22"/>
        </w:rPr>
        <w:t>-</w:t>
      </w:r>
      <w:r w:rsidR="00A25A79" w:rsidRPr="003874DE">
        <w:rPr>
          <w:szCs w:val="22"/>
        </w:rPr>
        <w:t xml:space="preserve">run trend. </w:t>
      </w:r>
    </w:p>
    <w:p w:rsidR="00ED2D5D" w:rsidRPr="003874DE" w:rsidRDefault="00566A36" w:rsidP="003874DE">
      <w:pPr>
        <w:pStyle w:val="T5TextBody"/>
        <w:spacing w:line="276" w:lineRule="auto"/>
        <w:rPr>
          <w:b/>
          <w:szCs w:val="22"/>
        </w:rPr>
      </w:pPr>
      <w:r w:rsidRPr="003874DE">
        <w:rPr>
          <w:b/>
          <w:szCs w:val="22"/>
        </w:rPr>
        <w:t>Investment, p</w:t>
      </w:r>
      <w:r w:rsidR="008E01AD" w:rsidRPr="003874DE">
        <w:rPr>
          <w:b/>
          <w:szCs w:val="22"/>
        </w:rPr>
        <w:t>rofitability</w:t>
      </w:r>
      <w:r w:rsidRPr="003874DE">
        <w:rPr>
          <w:b/>
          <w:szCs w:val="22"/>
        </w:rPr>
        <w:t xml:space="preserve"> and</w:t>
      </w:r>
      <w:r w:rsidR="00ED2D5D" w:rsidRPr="003874DE">
        <w:rPr>
          <w:b/>
          <w:szCs w:val="22"/>
        </w:rPr>
        <w:t xml:space="preserve"> productivity </w:t>
      </w:r>
    </w:p>
    <w:p w:rsidR="00410BF5" w:rsidRPr="003874DE" w:rsidRDefault="006B6995" w:rsidP="003874DE">
      <w:pPr>
        <w:pStyle w:val="T5TextBody"/>
        <w:spacing w:line="276" w:lineRule="auto"/>
        <w:rPr>
          <w:szCs w:val="22"/>
        </w:rPr>
      </w:pPr>
      <w:r w:rsidRPr="003874DE">
        <w:rPr>
          <w:szCs w:val="22"/>
        </w:rPr>
        <w:t xml:space="preserve">The TUC has </w:t>
      </w:r>
      <w:r w:rsidR="008E01AD" w:rsidRPr="003874DE">
        <w:rPr>
          <w:szCs w:val="22"/>
        </w:rPr>
        <w:t>pointed</w:t>
      </w:r>
      <w:r w:rsidRPr="003874DE">
        <w:rPr>
          <w:szCs w:val="22"/>
        </w:rPr>
        <w:t xml:space="preserve"> </w:t>
      </w:r>
      <w:r w:rsidR="008E01AD" w:rsidRPr="003874DE">
        <w:rPr>
          <w:szCs w:val="22"/>
        </w:rPr>
        <w:t>out</w:t>
      </w:r>
      <w:r w:rsidRPr="003874DE">
        <w:rPr>
          <w:szCs w:val="22"/>
        </w:rPr>
        <w:t xml:space="preserve"> on a number of occasions that </w:t>
      </w:r>
      <w:r w:rsidR="008E01AD" w:rsidRPr="003874DE">
        <w:rPr>
          <w:szCs w:val="22"/>
        </w:rPr>
        <w:t>corporate</w:t>
      </w:r>
      <w:r w:rsidRPr="003874DE">
        <w:rPr>
          <w:szCs w:val="22"/>
        </w:rPr>
        <w:t xml:space="preserve"> </w:t>
      </w:r>
      <w:r w:rsidR="008E01AD" w:rsidRPr="003874DE">
        <w:rPr>
          <w:szCs w:val="22"/>
        </w:rPr>
        <w:t>reserves</w:t>
      </w:r>
      <w:r w:rsidRPr="003874DE">
        <w:rPr>
          <w:szCs w:val="22"/>
        </w:rPr>
        <w:t xml:space="preserve"> have been growing during the long</w:t>
      </w:r>
      <w:r w:rsidR="00F73A4F" w:rsidRPr="003874DE">
        <w:rPr>
          <w:szCs w:val="22"/>
        </w:rPr>
        <w:t>-</w:t>
      </w:r>
      <w:r w:rsidRPr="003874DE">
        <w:rPr>
          <w:szCs w:val="22"/>
        </w:rPr>
        <w:t xml:space="preserve">running period of economic difficulty. </w:t>
      </w:r>
      <w:r w:rsidR="00410BF5" w:rsidRPr="003874DE">
        <w:rPr>
          <w:szCs w:val="22"/>
        </w:rPr>
        <w:t>The latest figures suggest that they stand at just over £650 billion</w:t>
      </w:r>
      <w:r w:rsidR="00410BF5" w:rsidRPr="003874DE">
        <w:rPr>
          <w:rStyle w:val="FootnoteReference"/>
          <w:sz w:val="22"/>
          <w:szCs w:val="22"/>
        </w:rPr>
        <w:footnoteReference w:id="21"/>
      </w:r>
      <w:r w:rsidR="00410BF5" w:rsidRPr="003874DE">
        <w:rPr>
          <w:szCs w:val="22"/>
        </w:rPr>
        <w:t xml:space="preserve">. </w:t>
      </w:r>
    </w:p>
    <w:p w:rsidR="00566A36" w:rsidRPr="003874DE" w:rsidRDefault="006B6995" w:rsidP="003874DE">
      <w:pPr>
        <w:pStyle w:val="T5TextBody"/>
        <w:spacing w:line="276" w:lineRule="auto"/>
        <w:rPr>
          <w:szCs w:val="22"/>
        </w:rPr>
      </w:pPr>
      <w:r w:rsidRPr="003874DE">
        <w:rPr>
          <w:szCs w:val="22"/>
        </w:rPr>
        <w:t>One encouraging factor is that th</w:t>
      </w:r>
      <w:r w:rsidR="00F73A4F" w:rsidRPr="003874DE">
        <w:rPr>
          <w:szCs w:val="22"/>
        </w:rPr>
        <w:t>e</w:t>
      </w:r>
      <w:r w:rsidRPr="003874DE">
        <w:rPr>
          <w:szCs w:val="22"/>
        </w:rPr>
        <w:t xml:space="preserve"> </w:t>
      </w:r>
      <w:r w:rsidR="00F73A4F" w:rsidRPr="003874DE">
        <w:rPr>
          <w:szCs w:val="22"/>
        </w:rPr>
        <w:t>worrying pause</w:t>
      </w:r>
      <w:r w:rsidRPr="003874DE">
        <w:rPr>
          <w:szCs w:val="22"/>
        </w:rPr>
        <w:t xml:space="preserve"> </w:t>
      </w:r>
      <w:r w:rsidR="00F73A4F" w:rsidRPr="003874DE">
        <w:rPr>
          <w:szCs w:val="22"/>
        </w:rPr>
        <w:t xml:space="preserve">in </w:t>
      </w:r>
      <w:r w:rsidRPr="003874DE">
        <w:rPr>
          <w:szCs w:val="22"/>
        </w:rPr>
        <w:t>investment</w:t>
      </w:r>
      <w:r w:rsidR="00F73A4F" w:rsidRPr="003874DE">
        <w:rPr>
          <w:szCs w:val="22"/>
        </w:rPr>
        <w:t xml:space="preserve"> </w:t>
      </w:r>
      <w:r w:rsidRPr="003874DE">
        <w:rPr>
          <w:szCs w:val="22"/>
        </w:rPr>
        <w:t>appears to be over</w:t>
      </w:r>
      <w:r w:rsidR="00566A36" w:rsidRPr="003874DE">
        <w:rPr>
          <w:szCs w:val="22"/>
        </w:rPr>
        <w:t>.</w:t>
      </w:r>
      <w:r w:rsidRPr="003874DE">
        <w:rPr>
          <w:szCs w:val="22"/>
        </w:rPr>
        <w:t xml:space="preserve"> </w:t>
      </w:r>
      <w:r w:rsidR="00566A36" w:rsidRPr="003874DE">
        <w:rPr>
          <w:szCs w:val="22"/>
        </w:rPr>
        <w:t xml:space="preserve">Household consumption and investment both fell heavily during the recession. Spending by households typically accounts for over 60 per cent of GDP </w:t>
      </w:r>
      <w:r w:rsidR="00566A36" w:rsidRPr="003874DE">
        <w:rPr>
          <w:szCs w:val="22"/>
        </w:rPr>
        <w:lastRenderedPageBreak/>
        <w:t>and it grew at over two per cent for most of 2013. Investment is very responsive to business confidence and it is noticeable that it has picked up in the last two quarters.</w:t>
      </w:r>
    </w:p>
    <w:p w:rsidR="00782D47" w:rsidRPr="003874DE" w:rsidRDefault="00566A36" w:rsidP="003874DE">
      <w:pPr>
        <w:pStyle w:val="T5TextBody"/>
        <w:spacing w:line="276" w:lineRule="auto"/>
        <w:rPr>
          <w:szCs w:val="22"/>
        </w:rPr>
      </w:pPr>
      <w:r w:rsidRPr="003874DE">
        <w:rPr>
          <w:szCs w:val="22"/>
        </w:rPr>
        <w:t xml:space="preserve">In </w:t>
      </w:r>
      <w:r w:rsidR="00545942" w:rsidRPr="003874DE">
        <w:rPr>
          <w:szCs w:val="22"/>
        </w:rPr>
        <w:t>addition, fixed</w:t>
      </w:r>
      <w:r w:rsidR="006B6995" w:rsidRPr="003874DE">
        <w:rPr>
          <w:szCs w:val="22"/>
        </w:rPr>
        <w:t xml:space="preserve"> investment predicted to rise by 8.3 per </w:t>
      </w:r>
      <w:r w:rsidR="008E01AD" w:rsidRPr="003874DE">
        <w:rPr>
          <w:szCs w:val="22"/>
        </w:rPr>
        <w:t>cent</w:t>
      </w:r>
      <w:r w:rsidR="006B6995" w:rsidRPr="003874DE">
        <w:rPr>
          <w:szCs w:val="22"/>
        </w:rPr>
        <w:t xml:space="preserve"> in the </w:t>
      </w:r>
      <w:r w:rsidR="008E01AD" w:rsidRPr="003874DE">
        <w:rPr>
          <w:szCs w:val="22"/>
        </w:rPr>
        <w:t>current</w:t>
      </w:r>
      <w:r w:rsidR="006B6995" w:rsidRPr="003874DE">
        <w:rPr>
          <w:szCs w:val="22"/>
        </w:rPr>
        <w:t xml:space="preserve"> year, and to continue to grow strongly in 2015 and beyond.</w:t>
      </w:r>
      <w:r w:rsidR="00782D47" w:rsidRPr="003874DE">
        <w:rPr>
          <w:szCs w:val="22"/>
        </w:rPr>
        <w:t xml:space="preserve"> </w:t>
      </w:r>
    </w:p>
    <w:p w:rsidR="00566A36" w:rsidRPr="00063676" w:rsidRDefault="00566A36" w:rsidP="00566A36">
      <w:pPr>
        <w:pStyle w:val="NoSpacing"/>
        <w:rPr>
          <w:b/>
          <w:sz w:val="24"/>
          <w:szCs w:val="24"/>
        </w:rPr>
      </w:pPr>
      <w:r w:rsidRPr="00063676">
        <w:rPr>
          <w:b/>
          <w:sz w:val="24"/>
          <w:szCs w:val="24"/>
        </w:rPr>
        <w:t>Contributions to GDP growth: household consumption and investment, year on year, constant</w:t>
      </w:r>
      <w:r>
        <w:rPr>
          <w:b/>
          <w:sz w:val="24"/>
          <w:szCs w:val="24"/>
        </w:rPr>
        <w:t xml:space="preserve"> </w:t>
      </w:r>
      <w:r w:rsidRPr="00063676">
        <w:rPr>
          <w:b/>
          <w:sz w:val="24"/>
          <w:szCs w:val="24"/>
        </w:rPr>
        <w:t>prices, seasonally adjusted</w:t>
      </w:r>
    </w:p>
    <w:p w:rsidR="00566A36" w:rsidRDefault="00566A36" w:rsidP="00566A36">
      <w:pPr>
        <w:rPr>
          <w:szCs w:val="24"/>
        </w:rPr>
      </w:pPr>
    </w:p>
    <w:p w:rsidR="00566A36" w:rsidRDefault="00566A36" w:rsidP="00566A36">
      <w:pPr>
        <w:rPr>
          <w:szCs w:val="24"/>
        </w:rPr>
      </w:pPr>
    </w:p>
    <w:p w:rsidR="00566A36" w:rsidRDefault="005673E8" w:rsidP="00566A36">
      <w:pPr>
        <w:rPr>
          <w:szCs w:val="24"/>
        </w:rPr>
      </w:pPr>
      <w:r>
        <w:rPr>
          <w:noProof/>
          <w:szCs w:val="24"/>
          <w:lang w:eastAsia="en-GB"/>
        </w:rPr>
        <w:drawing>
          <wp:inline distT="0" distB="0" distL="0" distR="0">
            <wp:extent cx="4950460" cy="3205239"/>
            <wp:effectExtent l="19050" t="0" r="2540" b="0"/>
            <wp:docPr id="2" name="Picture 1" descr="Expenditure components of GDP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nditure components of GDP v2.png"/>
                    <pic:cNvPicPr/>
                  </pic:nvPicPr>
                  <pic:blipFill>
                    <a:blip r:embed="rId10" cstate="print"/>
                    <a:stretch>
                      <a:fillRect/>
                    </a:stretch>
                  </pic:blipFill>
                  <pic:spPr>
                    <a:xfrm>
                      <a:off x="0" y="0"/>
                      <a:ext cx="4950460" cy="3205239"/>
                    </a:xfrm>
                    <a:prstGeom prst="rect">
                      <a:avLst/>
                    </a:prstGeom>
                  </pic:spPr>
                </pic:pic>
              </a:graphicData>
            </a:graphic>
          </wp:inline>
        </w:drawing>
      </w:r>
    </w:p>
    <w:p w:rsidR="00566A36" w:rsidRDefault="00566A36" w:rsidP="00566A36">
      <w:pPr>
        <w:rPr>
          <w:szCs w:val="24"/>
        </w:rPr>
      </w:pPr>
    </w:p>
    <w:p w:rsidR="00566A36" w:rsidRDefault="00566A36" w:rsidP="00782D47">
      <w:pPr>
        <w:pStyle w:val="T5TextBody"/>
        <w:spacing w:line="276" w:lineRule="auto"/>
        <w:rPr>
          <w:szCs w:val="22"/>
        </w:rPr>
      </w:pPr>
    </w:p>
    <w:p w:rsidR="00BE2BAE" w:rsidRDefault="005019EC" w:rsidP="00E729F9">
      <w:pPr>
        <w:pStyle w:val="T5TextBody"/>
        <w:spacing w:line="276" w:lineRule="auto"/>
        <w:rPr>
          <w:szCs w:val="22"/>
        </w:rPr>
      </w:pPr>
      <w:r>
        <w:rPr>
          <w:szCs w:val="22"/>
        </w:rPr>
        <w:t>Tur</w:t>
      </w:r>
      <w:r w:rsidR="00E729F9">
        <w:rPr>
          <w:szCs w:val="22"/>
        </w:rPr>
        <w:t>n</w:t>
      </w:r>
      <w:r>
        <w:rPr>
          <w:szCs w:val="22"/>
        </w:rPr>
        <w:t>ing to profitability, t</w:t>
      </w:r>
      <w:r w:rsidR="008E01AD">
        <w:rPr>
          <w:szCs w:val="22"/>
        </w:rPr>
        <w:t xml:space="preserve">here </w:t>
      </w:r>
      <w:r w:rsidR="0048264B">
        <w:rPr>
          <w:szCs w:val="22"/>
        </w:rPr>
        <w:t xml:space="preserve">are </w:t>
      </w:r>
      <w:r w:rsidR="008E01AD">
        <w:rPr>
          <w:szCs w:val="22"/>
        </w:rPr>
        <w:t xml:space="preserve">less </w:t>
      </w:r>
      <w:r>
        <w:rPr>
          <w:szCs w:val="22"/>
        </w:rPr>
        <w:t xml:space="preserve">detailed </w:t>
      </w:r>
      <w:r w:rsidR="008E01AD">
        <w:rPr>
          <w:szCs w:val="22"/>
        </w:rPr>
        <w:t xml:space="preserve">data </w:t>
      </w:r>
      <w:r w:rsidR="002B25E5">
        <w:rPr>
          <w:szCs w:val="22"/>
        </w:rPr>
        <w:t>available than</w:t>
      </w:r>
      <w:r w:rsidR="008E01AD">
        <w:rPr>
          <w:szCs w:val="22"/>
        </w:rPr>
        <w:t xml:space="preserve"> the TUC would like, not least since we know that some corporations have grown adept at hiding profits in the balance sheets in order to avoid taxation.</w:t>
      </w:r>
      <w:r w:rsidR="00BE2BAE" w:rsidRPr="00BE2BAE">
        <w:rPr>
          <w:szCs w:val="22"/>
        </w:rPr>
        <w:t xml:space="preserve"> </w:t>
      </w:r>
      <w:r w:rsidR="00BE2BAE">
        <w:rPr>
          <w:szCs w:val="22"/>
        </w:rPr>
        <w:t xml:space="preserve">Nevertheless, there </w:t>
      </w:r>
      <w:r w:rsidR="0048264B">
        <w:rPr>
          <w:szCs w:val="22"/>
        </w:rPr>
        <w:t xml:space="preserve">are </w:t>
      </w:r>
      <w:r w:rsidR="00BE2BAE">
        <w:rPr>
          <w:szCs w:val="22"/>
        </w:rPr>
        <w:t xml:space="preserve">ONS data on the profitability of the service sector corporations as a whole. This is important, because the majority of minimum wage jobs are located in the service sector. </w:t>
      </w:r>
    </w:p>
    <w:p w:rsidR="00E729F9" w:rsidRDefault="00D64146" w:rsidP="00E729F9">
      <w:pPr>
        <w:pStyle w:val="T5TextBody"/>
        <w:spacing w:line="276" w:lineRule="auto"/>
        <w:rPr>
          <w:szCs w:val="22"/>
        </w:rPr>
      </w:pPr>
      <w:r>
        <w:rPr>
          <w:szCs w:val="22"/>
        </w:rPr>
        <w:t xml:space="preserve">The table below shows that </w:t>
      </w:r>
      <w:r w:rsidR="008E01AD">
        <w:rPr>
          <w:szCs w:val="22"/>
        </w:rPr>
        <w:t>profitability</w:t>
      </w:r>
      <w:r>
        <w:rPr>
          <w:szCs w:val="22"/>
        </w:rPr>
        <w:t xml:space="preserve"> </w:t>
      </w:r>
      <w:r w:rsidR="000C1569">
        <w:rPr>
          <w:szCs w:val="22"/>
        </w:rPr>
        <w:t xml:space="preserve">has </w:t>
      </w:r>
      <w:r>
        <w:rPr>
          <w:szCs w:val="22"/>
        </w:rPr>
        <w:t xml:space="preserve">held </w:t>
      </w:r>
      <w:r w:rsidR="000C1569">
        <w:rPr>
          <w:szCs w:val="22"/>
        </w:rPr>
        <w:t>up well in the service sector.</w:t>
      </w:r>
      <w:r w:rsidR="000A1534">
        <w:rPr>
          <w:szCs w:val="22"/>
        </w:rPr>
        <w:t xml:space="preserve"> </w:t>
      </w:r>
      <w:r w:rsidR="0048264B">
        <w:rPr>
          <w:szCs w:val="22"/>
        </w:rPr>
        <w:t xml:space="preserve">The </w:t>
      </w:r>
      <w:r w:rsidR="008E01AD">
        <w:rPr>
          <w:szCs w:val="22"/>
        </w:rPr>
        <w:t>onset</w:t>
      </w:r>
      <w:r w:rsidR="000C1569">
        <w:rPr>
          <w:szCs w:val="22"/>
        </w:rPr>
        <w:t xml:space="preserve"> of recession only reduced the net </w:t>
      </w:r>
      <w:r w:rsidR="008E01AD">
        <w:rPr>
          <w:szCs w:val="22"/>
        </w:rPr>
        <w:t>return</w:t>
      </w:r>
      <w:r w:rsidR="000C1569">
        <w:rPr>
          <w:szCs w:val="22"/>
        </w:rPr>
        <w:t xml:space="preserve"> in </w:t>
      </w:r>
      <w:r w:rsidR="008E01AD">
        <w:rPr>
          <w:szCs w:val="22"/>
        </w:rPr>
        <w:t>the</w:t>
      </w:r>
      <w:r w:rsidR="000C1569">
        <w:rPr>
          <w:szCs w:val="22"/>
        </w:rPr>
        <w:t xml:space="preserve"> service sector by 1.4%. </w:t>
      </w:r>
      <w:r w:rsidR="008E01AD">
        <w:rPr>
          <w:szCs w:val="22"/>
        </w:rPr>
        <w:t>However</w:t>
      </w:r>
      <w:r w:rsidR="000C1569">
        <w:rPr>
          <w:szCs w:val="22"/>
        </w:rPr>
        <w:t xml:space="preserve">, the rate has been recovering, and the latest figures show </w:t>
      </w:r>
      <w:r w:rsidR="008E01AD">
        <w:rPr>
          <w:szCs w:val="22"/>
        </w:rPr>
        <w:t>profitability</w:t>
      </w:r>
      <w:r w:rsidR="000C1569">
        <w:rPr>
          <w:szCs w:val="22"/>
        </w:rPr>
        <w:t xml:space="preserve"> above 2001 </w:t>
      </w:r>
      <w:r w:rsidR="008E01AD">
        <w:rPr>
          <w:szCs w:val="22"/>
        </w:rPr>
        <w:t>levels</w:t>
      </w:r>
      <w:r w:rsidR="000C1569">
        <w:rPr>
          <w:szCs w:val="22"/>
        </w:rPr>
        <w:t>, for example.</w:t>
      </w:r>
      <w:r w:rsidR="00E729F9" w:rsidRPr="00E729F9">
        <w:rPr>
          <w:szCs w:val="22"/>
        </w:rPr>
        <w:t xml:space="preserve"> </w:t>
      </w:r>
    </w:p>
    <w:p w:rsidR="00E729F9" w:rsidRDefault="00E729F9" w:rsidP="00E729F9">
      <w:pPr>
        <w:pStyle w:val="T5TextBody"/>
        <w:spacing w:line="276" w:lineRule="auto"/>
        <w:rPr>
          <w:szCs w:val="22"/>
        </w:rPr>
      </w:pPr>
      <w:r>
        <w:rPr>
          <w:szCs w:val="22"/>
        </w:rPr>
        <w:t xml:space="preserve">More broadly, the TUC believes that there was something of a bubble in profitability during the last boom. The recession reduced general rates of profitability, but they are </w:t>
      </w:r>
      <w:r w:rsidR="007604E0">
        <w:rPr>
          <w:szCs w:val="22"/>
        </w:rPr>
        <w:t xml:space="preserve">now </w:t>
      </w:r>
      <w:r>
        <w:rPr>
          <w:szCs w:val="22"/>
        </w:rPr>
        <w:t>back to pre-bubble levels.</w:t>
      </w:r>
    </w:p>
    <w:p w:rsidR="00E729F9" w:rsidRPr="000A1534" w:rsidRDefault="00E729F9" w:rsidP="00E729F9">
      <w:pPr>
        <w:pStyle w:val="T5TextBody"/>
        <w:spacing w:line="276" w:lineRule="auto"/>
        <w:rPr>
          <w:szCs w:val="22"/>
        </w:rPr>
      </w:pPr>
      <w:r w:rsidRPr="00E729F9">
        <w:rPr>
          <w:szCs w:val="22"/>
        </w:rPr>
        <w:lastRenderedPageBreak/>
        <w:t xml:space="preserve"> </w:t>
      </w:r>
      <w:r>
        <w:rPr>
          <w:szCs w:val="22"/>
        </w:rPr>
        <w:t>T</w:t>
      </w:r>
      <w:r w:rsidRPr="000A1534">
        <w:rPr>
          <w:szCs w:val="22"/>
        </w:rPr>
        <w:t>h</w:t>
      </w:r>
      <w:r>
        <w:rPr>
          <w:szCs w:val="22"/>
        </w:rPr>
        <w:t>e</w:t>
      </w:r>
      <w:r w:rsidRPr="000A1534">
        <w:rPr>
          <w:szCs w:val="22"/>
        </w:rPr>
        <w:t xml:space="preserve"> Bank of England says, more cautiously, that</w:t>
      </w:r>
      <w:r w:rsidR="0048264B">
        <w:rPr>
          <w:szCs w:val="22"/>
        </w:rPr>
        <w:t xml:space="preserve"> despite the higher costs associated with rising employment</w:t>
      </w:r>
      <w:r w:rsidRPr="000A1534">
        <w:rPr>
          <w:szCs w:val="22"/>
        </w:rPr>
        <w:t xml:space="preserve"> “m</w:t>
      </w:r>
      <w:r w:rsidRPr="000A1534">
        <w:rPr>
          <w:rFonts w:cs="Bliss2-Light"/>
          <w:snapToGrid/>
          <w:color w:val="231F20"/>
          <w:szCs w:val="22"/>
          <w:lang w:eastAsia="en-GB"/>
        </w:rPr>
        <w:t>argins in the consumer-facing sector have been squeezed since the start of the financial crisis, but are estimated to have recovered somewhat over the past two years.</w:t>
      </w:r>
      <w:r>
        <w:rPr>
          <w:rStyle w:val="FootnoteReference"/>
          <w:rFonts w:cs="Bliss2-Light"/>
          <w:snapToGrid/>
          <w:color w:val="231F20"/>
          <w:szCs w:val="22"/>
          <w:lang w:eastAsia="en-GB"/>
        </w:rPr>
        <w:footnoteReference w:id="22"/>
      </w:r>
      <w:r w:rsidRPr="000A1534">
        <w:rPr>
          <w:rFonts w:cs="Bliss2-Light"/>
          <w:snapToGrid/>
          <w:color w:val="231F20"/>
          <w:szCs w:val="22"/>
          <w:lang w:eastAsia="en-GB"/>
        </w:rPr>
        <w:t>”</w:t>
      </w:r>
    </w:p>
    <w:p w:rsidR="00DE2BB7" w:rsidRPr="00967399" w:rsidRDefault="00DE2BB7" w:rsidP="00DE2BB7">
      <w:pPr>
        <w:pStyle w:val="T5TextBody"/>
        <w:rPr>
          <w:rFonts w:ascii="Frutiger 55" w:hAnsi="Frutiger 55"/>
          <w:b/>
          <w:i/>
        </w:rPr>
      </w:pPr>
      <w:r w:rsidRPr="00967399">
        <w:rPr>
          <w:rFonts w:ascii="Frutiger 55" w:hAnsi="Frutiger 55"/>
          <w:b/>
          <w:i/>
        </w:rPr>
        <w:t xml:space="preserve">Profitability of UK </w:t>
      </w:r>
      <w:r>
        <w:rPr>
          <w:rFonts w:ascii="Frutiger 55" w:hAnsi="Frutiger 55"/>
          <w:b/>
          <w:i/>
        </w:rPr>
        <w:t xml:space="preserve">service sector </w:t>
      </w:r>
      <w:r w:rsidRPr="00967399">
        <w:rPr>
          <w:rFonts w:ascii="Frutiger 55" w:hAnsi="Frutiger 55"/>
          <w:b/>
          <w:i/>
        </w:rPr>
        <w:t>corporations 200</w:t>
      </w:r>
      <w:r>
        <w:rPr>
          <w:rFonts w:ascii="Frutiger 55" w:hAnsi="Frutiger 55"/>
          <w:b/>
          <w:i/>
        </w:rPr>
        <w:t>1</w:t>
      </w:r>
      <w:r w:rsidRPr="00967399">
        <w:rPr>
          <w:rFonts w:ascii="Frutiger 55" w:hAnsi="Frutiger 55"/>
          <w:b/>
          <w:i/>
        </w:rPr>
        <w:t>-201</w:t>
      </w:r>
      <w:r>
        <w:rPr>
          <w:rFonts w:ascii="Frutiger 55" w:hAnsi="Frutiger 55"/>
          <w:b/>
          <w:i/>
        </w:rPr>
        <w:t>4</w:t>
      </w:r>
    </w:p>
    <w:tbl>
      <w:tblPr>
        <w:tblStyle w:val="TableGrid"/>
        <w:tblW w:w="0" w:type="auto"/>
        <w:tblLook w:val="04A0"/>
      </w:tblPr>
      <w:tblGrid>
        <w:gridCol w:w="2679"/>
        <w:gridCol w:w="2679"/>
        <w:gridCol w:w="2680"/>
      </w:tblGrid>
      <w:tr w:rsidR="00DE2BB7" w:rsidTr="00D64146">
        <w:tc>
          <w:tcPr>
            <w:tcW w:w="2679" w:type="dxa"/>
          </w:tcPr>
          <w:p w:rsidR="00DE2BB7" w:rsidRPr="00BE2BAE" w:rsidRDefault="00BE2BAE" w:rsidP="00D64146">
            <w:pPr>
              <w:pStyle w:val="T5TextBody"/>
              <w:spacing w:line="240" w:lineRule="auto"/>
              <w:rPr>
                <w:b/>
              </w:rPr>
            </w:pPr>
            <w:r>
              <w:rPr>
                <w:b/>
              </w:rPr>
              <w:t>Year</w:t>
            </w:r>
          </w:p>
        </w:tc>
        <w:tc>
          <w:tcPr>
            <w:tcW w:w="2679" w:type="dxa"/>
          </w:tcPr>
          <w:p w:rsidR="00BF58AC" w:rsidRDefault="00C23B98">
            <w:pPr>
              <w:pStyle w:val="T5TextBody"/>
              <w:spacing w:line="240" w:lineRule="auto"/>
              <w:jc w:val="center"/>
              <w:rPr>
                <w:b/>
              </w:rPr>
            </w:pPr>
            <w:r w:rsidRPr="00C23B98">
              <w:rPr>
                <w:b/>
              </w:rPr>
              <w:t>Net rate of return of all non-financial corporations</w:t>
            </w:r>
          </w:p>
        </w:tc>
        <w:tc>
          <w:tcPr>
            <w:tcW w:w="2680" w:type="dxa"/>
          </w:tcPr>
          <w:p w:rsidR="00BF58AC" w:rsidRDefault="00C23B98">
            <w:pPr>
              <w:pStyle w:val="T5TextBody"/>
              <w:spacing w:line="240" w:lineRule="auto"/>
              <w:jc w:val="center"/>
              <w:rPr>
                <w:b/>
              </w:rPr>
            </w:pPr>
            <w:r w:rsidRPr="00C23B98">
              <w:rPr>
                <w:b/>
              </w:rPr>
              <w:t>Rate of return of service sector corporations</w:t>
            </w:r>
          </w:p>
        </w:tc>
      </w:tr>
      <w:tr w:rsidR="00DE2BB7" w:rsidTr="00D64146">
        <w:tc>
          <w:tcPr>
            <w:tcW w:w="2679" w:type="dxa"/>
          </w:tcPr>
          <w:p w:rsidR="00DE2BB7" w:rsidRPr="00BE2BAE" w:rsidRDefault="00C23B98" w:rsidP="00DE2BB7">
            <w:pPr>
              <w:pStyle w:val="T5TextBody"/>
              <w:spacing w:line="240" w:lineRule="auto"/>
              <w:rPr>
                <w:b/>
              </w:rPr>
            </w:pPr>
            <w:r w:rsidRPr="00C23B98">
              <w:rPr>
                <w:b/>
              </w:rPr>
              <w:t>2001</w:t>
            </w:r>
          </w:p>
        </w:tc>
        <w:tc>
          <w:tcPr>
            <w:tcW w:w="2679" w:type="dxa"/>
          </w:tcPr>
          <w:p w:rsidR="00BF58AC" w:rsidRDefault="00DE2BB7">
            <w:pPr>
              <w:pStyle w:val="T5TextBody"/>
              <w:spacing w:line="240" w:lineRule="auto"/>
              <w:jc w:val="center"/>
            </w:pPr>
            <w:r>
              <w:t>11.3%</w:t>
            </w:r>
          </w:p>
        </w:tc>
        <w:tc>
          <w:tcPr>
            <w:tcW w:w="2680" w:type="dxa"/>
          </w:tcPr>
          <w:p w:rsidR="00BF58AC" w:rsidRDefault="00DE2BB7">
            <w:pPr>
              <w:pStyle w:val="T5TextBody"/>
              <w:spacing w:line="240" w:lineRule="auto"/>
              <w:jc w:val="center"/>
            </w:pPr>
            <w:r>
              <w:t>14.7%</w:t>
            </w:r>
          </w:p>
        </w:tc>
      </w:tr>
      <w:tr w:rsidR="00DE2BB7" w:rsidTr="00BE2BAE">
        <w:tc>
          <w:tcPr>
            <w:tcW w:w="2679" w:type="dxa"/>
            <w:tcBorders>
              <w:bottom w:val="single" w:sz="4" w:space="0" w:color="000000" w:themeColor="text1"/>
            </w:tcBorders>
          </w:tcPr>
          <w:p w:rsidR="00DE2BB7" w:rsidRPr="00BE2BAE" w:rsidRDefault="00C23B98" w:rsidP="00DE2BB7">
            <w:pPr>
              <w:pStyle w:val="T5TextBody"/>
              <w:spacing w:line="240" w:lineRule="auto"/>
              <w:rPr>
                <w:b/>
              </w:rPr>
            </w:pPr>
            <w:r w:rsidRPr="00C23B98">
              <w:rPr>
                <w:b/>
              </w:rPr>
              <w:t>2005</w:t>
            </w:r>
          </w:p>
        </w:tc>
        <w:tc>
          <w:tcPr>
            <w:tcW w:w="2679" w:type="dxa"/>
            <w:tcBorders>
              <w:bottom w:val="single" w:sz="4" w:space="0" w:color="000000" w:themeColor="text1"/>
            </w:tcBorders>
          </w:tcPr>
          <w:p w:rsidR="00BF58AC" w:rsidRDefault="00DE2BB7">
            <w:pPr>
              <w:pStyle w:val="T5TextBody"/>
              <w:spacing w:line="240" w:lineRule="auto"/>
              <w:jc w:val="center"/>
            </w:pPr>
            <w:r>
              <w:t>13.5%</w:t>
            </w:r>
          </w:p>
        </w:tc>
        <w:tc>
          <w:tcPr>
            <w:tcW w:w="2680" w:type="dxa"/>
            <w:tcBorders>
              <w:bottom w:val="single" w:sz="4" w:space="0" w:color="000000" w:themeColor="text1"/>
            </w:tcBorders>
          </w:tcPr>
          <w:p w:rsidR="00BF58AC" w:rsidRDefault="00DE2BB7">
            <w:pPr>
              <w:pStyle w:val="T5TextBody"/>
              <w:spacing w:line="240" w:lineRule="auto"/>
              <w:jc w:val="center"/>
            </w:pPr>
            <w:r>
              <w:t>15.7%</w:t>
            </w:r>
          </w:p>
        </w:tc>
      </w:tr>
      <w:tr w:rsidR="00A054E7" w:rsidTr="00BE2BAE">
        <w:tc>
          <w:tcPr>
            <w:tcW w:w="2679" w:type="dxa"/>
            <w:tcBorders>
              <w:bottom w:val="single" w:sz="4" w:space="0" w:color="000000" w:themeColor="text1"/>
            </w:tcBorders>
          </w:tcPr>
          <w:p w:rsidR="00A054E7" w:rsidRPr="00C23B98" w:rsidRDefault="00A054E7" w:rsidP="00A1347C">
            <w:pPr>
              <w:pStyle w:val="T5TextBody"/>
              <w:spacing w:line="240" w:lineRule="auto"/>
              <w:rPr>
                <w:b/>
              </w:rPr>
            </w:pPr>
            <w:r w:rsidRPr="00C23B98">
              <w:rPr>
                <w:b/>
              </w:rPr>
              <w:t>2009</w:t>
            </w:r>
          </w:p>
        </w:tc>
        <w:tc>
          <w:tcPr>
            <w:tcW w:w="2679" w:type="dxa"/>
            <w:tcBorders>
              <w:bottom w:val="single" w:sz="4" w:space="0" w:color="000000" w:themeColor="text1"/>
            </w:tcBorders>
          </w:tcPr>
          <w:p w:rsidR="00A054E7" w:rsidRDefault="00A054E7" w:rsidP="00A1347C">
            <w:pPr>
              <w:pStyle w:val="T5TextBody"/>
              <w:spacing w:line="240" w:lineRule="auto"/>
              <w:jc w:val="center"/>
            </w:pPr>
            <w:r>
              <w:t>10.8%</w:t>
            </w:r>
          </w:p>
        </w:tc>
        <w:tc>
          <w:tcPr>
            <w:tcW w:w="2680" w:type="dxa"/>
            <w:tcBorders>
              <w:bottom w:val="single" w:sz="4" w:space="0" w:color="000000" w:themeColor="text1"/>
            </w:tcBorders>
          </w:tcPr>
          <w:p w:rsidR="00A054E7" w:rsidRDefault="00A054E7" w:rsidP="00A1347C">
            <w:pPr>
              <w:pStyle w:val="T5TextBody"/>
              <w:spacing w:line="240" w:lineRule="auto"/>
              <w:jc w:val="center"/>
            </w:pPr>
            <w:r>
              <w:t>14.3%</w:t>
            </w:r>
          </w:p>
        </w:tc>
      </w:tr>
      <w:tr w:rsidR="00DE2BB7" w:rsidTr="00D64146">
        <w:tc>
          <w:tcPr>
            <w:tcW w:w="2679" w:type="dxa"/>
          </w:tcPr>
          <w:p w:rsidR="00DE2BB7" w:rsidRPr="00BE2BAE" w:rsidRDefault="00C23B98" w:rsidP="00DE2BB7">
            <w:pPr>
              <w:pStyle w:val="T5TextBody"/>
              <w:spacing w:line="240" w:lineRule="auto"/>
              <w:rPr>
                <w:b/>
              </w:rPr>
            </w:pPr>
            <w:r w:rsidRPr="00C23B98">
              <w:rPr>
                <w:b/>
              </w:rPr>
              <w:t>2013</w:t>
            </w:r>
          </w:p>
        </w:tc>
        <w:tc>
          <w:tcPr>
            <w:tcW w:w="2679" w:type="dxa"/>
          </w:tcPr>
          <w:p w:rsidR="00BF58AC" w:rsidRDefault="00DE2BB7">
            <w:pPr>
              <w:pStyle w:val="T5TextBody"/>
              <w:spacing w:line="240" w:lineRule="auto"/>
              <w:jc w:val="center"/>
            </w:pPr>
            <w:r>
              <w:t>11.3%</w:t>
            </w:r>
          </w:p>
        </w:tc>
        <w:tc>
          <w:tcPr>
            <w:tcW w:w="2680" w:type="dxa"/>
          </w:tcPr>
          <w:p w:rsidR="00BF58AC" w:rsidRDefault="00DE2BB7">
            <w:pPr>
              <w:pStyle w:val="T5TextBody"/>
              <w:spacing w:line="240" w:lineRule="auto"/>
              <w:jc w:val="center"/>
            </w:pPr>
            <w:r>
              <w:t>14.7%</w:t>
            </w:r>
          </w:p>
        </w:tc>
      </w:tr>
      <w:tr w:rsidR="00DE2BB7" w:rsidTr="00D64146">
        <w:tc>
          <w:tcPr>
            <w:tcW w:w="2679" w:type="dxa"/>
          </w:tcPr>
          <w:p w:rsidR="00DE2BB7" w:rsidRPr="00BE2BAE" w:rsidRDefault="00C23B98" w:rsidP="00DE2BB7">
            <w:pPr>
              <w:pStyle w:val="T5TextBody"/>
              <w:spacing w:line="240" w:lineRule="auto"/>
              <w:rPr>
                <w:b/>
              </w:rPr>
            </w:pPr>
            <w:r w:rsidRPr="00C23B98">
              <w:rPr>
                <w:b/>
              </w:rPr>
              <w:t>2014 (q1 only)</w:t>
            </w:r>
          </w:p>
        </w:tc>
        <w:tc>
          <w:tcPr>
            <w:tcW w:w="2679" w:type="dxa"/>
          </w:tcPr>
          <w:p w:rsidR="00BF58AC" w:rsidRDefault="00DE2BB7">
            <w:pPr>
              <w:pStyle w:val="T5TextBody"/>
              <w:spacing w:line="240" w:lineRule="auto"/>
              <w:jc w:val="center"/>
            </w:pPr>
            <w:r>
              <w:t>11.9%</w:t>
            </w:r>
          </w:p>
        </w:tc>
        <w:tc>
          <w:tcPr>
            <w:tcW w:w="2680" w:type="dxa"/>
          </w:tcPr>
          <w:p w:rsidR="00BF58AC" w:rsidRDefault="00DE2BB7">
            <w:pPr>
              <w:pStyle w:val="T5TextBody"/>
              <w:spacing w:line="240" w:lineRule="auto"/>
              <w:jc w:val="center"/>
            </w:pPr>
            <w:r>
              <w:t>15.0%</w:t>
            </w:r>
          </w:p>
        </w:tc>
      </w:tr>
    </w:tbl>
    <w:p w:rsidR="00DE2BB7" w:rsidRDefault="00DE2BB7" w:rsidP="00DE2BB7">
      <w:pPr>
        <w:pStyle w:val="T5TextBody"/>
        <w:rPr>
          <w:sz w:val="18"/>
          <w:szCs w:val="18"/>
        </w:rPr>
      </w:pPr>
      <w:r w:rsidRPr="009816C6">
        <w:rPr>
          <w:sz w:val="18"/>
          <w:szCs w:val="18"/>
        </w:rPr>
        <w:t>Source</w:t>
      </w:r>
      <w:r>
        <w:rPr>
          <w:sz w:val="18"/>
          <w:szCs w:val="18"/>
        </w:rPr>
        <w:t xml:space="preserve">: </w:t>
      </w:r>
      <w:r w:rsidRPr="009816C6">
        <w:rPr>
          <w:sz w:val="18"/>
          <w:szCs w:val="18"/>
        </w:rPr>
        <w:t xml:space="preserve"> ONS, Profitability of UK companies Q1 201</w:t>
      </w:r>
      <w:r w:rsidR="000C1569">
        <w:rPr>
          <w:sz w:val="18"/>
          <w:szCs w:val="18"/>
        </w:rPr>
        <w:t>4:</w:t>
      </w:r>
      <w:r w:rsidRPr="009816C6">
        <w:rPr>
          <w:sz w:val="18"/>
          <w:szCs w:val="18"/>
        </w:rPr>
        <w:t xml:space="preserve"> </w:t>
      </w:r>
      <w:hyperlink r:id="rId11" w:history="1">
        <w:r w:rsidR="00BE2BAE" w:rsidRPr="005C33C4">
          <w:rPr>
            <w:rStyle w:val="Hyperlink"/>
            <w:sz w:val="18"/>
            <w:szCs w:val="18"/>
          </w:rPr>
          <w:t>http://www.ons.gov.uk/ons/rel/pnfc2/profitability-of-uk-companies/q1-2014/index.html</w:t>
        </w:r>
      </w:hyperlink>
      <w:r w:rsidR="00BE2BAE">
        <w:rPr>
          <w:sz w:val="18"/>
          <w:szCs w:val="18"/>
        </w:rPr>
        <w:t xml:space="preserve">. </w:t>
      </w:r>
    </w:p>
    <w:p w:rsidR="00E729F9" w:rsidRDefault="00E729F9" w:rsidP="00782D47">
      <w:pPr>
        <w:pStyle w:val="T5TextBody"/>
        <w:spacing w:line="276" w:lineRule="auto"/>
        <w:rPr>
          <w:szCs w:val="22"/>
        </w:rPr>
      </w:pPr>
    </w:p>
    <w:p w:rsidR="00901C3E" w:rsidRPr="00E729F9" w:rsidRDefault="005019EC" w:rsidP="00E729F9">
      <w:pPr>
        <w:pStyle w:val="T5TextBody"/>
        <w:spacing w:line="276" w:lineRule="auto"/>
        <w:rPr>
          <w:szCs w:val="22"/>
        </w:rPr>
      </w:pPr>
      <w:r w:rsidRPr="00E729F9">
        <w:rPr>
          <w:szCs w:val="22"/>
        </w:rPr>
        <w:t>Tur</w:t>
      </w:r>
      <w:r w:rsidR="00E729F9" w:rsidRPr="00E729F9">
        <w:rPr>
          <w:szCs w:val="22"/>
        </w:rPr>
        <w:t>n</w:t>
      </w:r>
      <w:r w:rsidRPr="00E729F9">
        <w:rPr>
          <w:szCs w:val="22"/>
        </w:rPr>
        <w:t xml:space="preserve">ing </w:t>
      </w:r>
      <w:r w:rsidR="00E729F9" w:rsidRPr="00E729F9">
        <w:rPr>
          <w:szCs w:val="22"/>
        </w:rPr>
        <w:t xml:space="preserve">next </w:t>
      </w:r>
      <w:r w:rsidRPr="00E729F9">
        <w:rPr>
          <w:szCs w:val="22"/>
        </w:rPr>
        <w:t>to p</w:t>
      </w:r>
      <w:r w:rsidR="00BE2BAE" w:rsidRPr="00E729F9">
        <w:rPr>
          <w:szCs w:val="22"/>
        </w:rPr>
        <w:t>roductivity</w:t>
      </w:r>
      <w:r w:rsidRPr="00E729F9">
        <w:rPr>
          <w:szCs w:val="22"/>
        </w:rPr>
        <w:t xml:space="preserve">, this </w:t>
      </w:r>
      <w:r w:rsidR="0048264B">
        <w:rPr>
          <w:szCs w:val="22"/>
        </w:rPr>
        <w:t xml:space="preserve">of course </w:t>
      </w:r>
      <w:r w:rsidR="00545942" w:rsidRPr="00E729F9">
        <w:rPr>
          <w:szCs w:val="22"/>
        </w:rPr>
        <w:t>still</w:t>
      </w:r>
      <w:r w:rsidRPr="00E729F9">
        <w:rPr>
          <w:szCs w:val="22"/>
        </w:rPr>
        <w:t xml:space="preserve"> remains </w:t>
      </w:r>
      <w:r w:rsidR="002B25E5" w:rsidRPr="00E729F9">
        <w:rPr>
          <w:szCs w:val="22"/>
        </w:rPr>
        <w:t>a concern</w:t>
      </w:r>
      <w:r w:rsidR="00901C3E" w:rsidRPr="00E729F9">
        <w:rPr>
          <w:szCs w:val="22"/>
        </w:rPr>
        <w:t xml:space="preserve">, as </w:t>
      </w:r>
      <w:r w:rsidRPr="00E729F9">
        <w:rPr>
          <w:szCs w:val="22"/>
        </w:rPr>
        <w:t>the headline figures have been</w:t>
      </w:r>
      <w:r w:rsidR="00901C3E" w:rsidRPr="00E729F9">
        <w:rPr>
          <w:szCs w:val="22"/>
        </w:rPr>
        <w:t xml:space="preserve"> </w:t>
      </w:r>
      <w:r w:rsidR="0014787E" w:rsidRPr="00E729F9">
        <w:rPr>
          <w:szCs w:val="22"/>
        </w:rPr>
        <w:t>completely</w:t>
      </w:r>
      <w:r w:rsidR="00901C3E" w:rsidRPr="00E729F9">
        <w:rPr>
          <w:szCs w:val="22"/>
        </w:rPr>
        <w:t xml:space="preserve"> flat during the past year</w:t>
      </w:r>
      <w:r w:rsidR="003F6A05" w:rsidRPr="00E729F9">
        <w:rPr>
          <w:szCs w:val="22"/>
        </w:rPr>
        <w:t xml:space="preserve">, including in the </w:t>
      </w:r>
      <w:r w:rsidR="008E01AD" w:rsidRPr="00E729F9">
        <w:rPr>
          <w:szCs w:val="22"/>
        </w:rPr>
        <w:t>finance</w:t>
      </w:r>
      <w:r w:rsidR="003F6A05" w:rsidRPr="00E729F9">
        <w:rPr>
          <w:szCs w:val="22"/>
        </w:rPr>
        <w:t xml:space="preserve"> sector</w:t>
      </w:r>
      <w:r w:rsidR="00901C3E" w:rsidRPr="00E729F9">
        <w:rPr>
          <w:szCs w:val="22"/>
        </w:rPr>
        <w:t xml:space="preserve">. As discussed </w:t>
      </w:r>
      <w:r w:rsidR="0014787E" w:rsidRPr="00E729F9">
        <w:rPr>
          <w:szCs w:val="22"/>
        </w:rPr>
        <w:t>earlier</w:t>
      </w:r>
      <w:r w:rsidR="00901C3E" w:rsidRPr="00E729F9">
        <w:rPr>
          <w:szCs w:val="22"/>
        </w:rPr>
        <w:t xml:space="preserve">, pay </w:t>
      </w:r>
      <w:r w:rsidR="0014787E" w:rsidRPr="00E729F9">
        <w:rPr>
          <w:szCs w:val="22"/>
        </w:rPr>
        <w:t>growth</w:t>
      </w:r>
      <w:r w:rsidR="00901C3E" w:rsidRPr="00E729F9">
        <w:rPr>
          <w:szCs w:val="22"/>
        </w:rPr>
        <w:t xml:space="preserve"> has been depressed by </w:t>
      </w:r>
      <w:r w:rsidR="0014787E" w:rsidRPr="00E729F9">
        <w:rPr>
          <w:szCs w:val="22"/>
        </w:rPr>
        <w:t>compositional</w:t>
      </w:r>
      <w:r w:rsidR="00901C3E" w:rsidRPr="00E729F9">
        <w:rPr>
          <w:szCs w:val="22"/>
        </w:rPr>
        <w:t xml:space="preserve"> effects, </w:t>
      </w:r>
      <w:r w:rsidRPr="00E729F9">
        <w:rPr>
          <w:szCs w:val="22"/>
        </w:rPr>
        <w:t xml:space="preserve">including the </w:t>
      </w:r>
      <w:r w:rsidR="00545942" w:rsidRPr="00E729F9">
        <w:rPr>
          <w:szCs w:val="22"/>
        </w:rPr>
        <w:t>disproportionate</w:t>
      </w:r>
      <w:r w:rsidRPr="00E729F9">
        <w:rPr>
          <w:szCs w:val="22"/>
        </w:rPr>
        <w:t xml:space="preserve"> growth in </w:t>
      </w:r>
      <w:r w:rsidR="00545942" w:rsidRPr="00E729F9">
        <w:rPr>
          <w:szCs w:val="22"/>
        </w:rPr>
        <w:t>relatively</w:t>
      </w:r>
      <w:r w:rsidRPr="00E729F9">
        <w:rPr>
          <w:szCs w:val="22"/>
        </w:rPr>
        <w:t xml:space="preserve"> low paid, low skilled jobs </w:t>
      </w:r>
      <w:r w:rsidR="00901C3E" w:rsidRPr="00E729F9">
        <w:rPr>
          <w:szCs w:val="22"/>
        </w:rPr>
        <w:t>and it seems likely that the</w:t>
      </w:r>
      <w:r w:rsidRPr="00E729F9">
        <w:rPr>
          <w:szCs w:val="22"/>
        </w:rPr>
        <w:t xml:space="preserve">se factors have also </w:t>
      </w:r>
      <w:r w:rsidR="002B25E5" w:rsidRPr="00E729F9">
        <w:rPr>
          <w:szCs w:val="22"/>
        </w:rPr>
        <w:t>inhibited productivity</w:t>
      </w:r>
      <w:r w:rsidRPr="00E729F9">
        <w:rPr>
          <w:szCs w:val="22"/>
        </w:rPr>
        <w:t xml:space="preserve"> growth</w:t>
      </w:r>
      <w:r w:rsidR="00901C3E" w:rsidRPr="00E729F9">
        <w:rPr>
          <w:szCs w:val="22"/>
        </w:rPr>
        <w:t>.</w:t>
      </w:r>
    </w:p>
    <w:p w:rsidR="005019EC" w:rsidRPr="00E729F9" w:rsidRDefault="005019EC" w:rsidP="00E729F9">
      <w:pPr>
        <w:pStyle w:val="T5TextBody"/>
        <w:spacing w:line="276" w:lineRule="auto"/>
        <w:rPr>
          <w:szCs w:val="22"/>
        </w:rPr>
      </w:pPr>
      <w:r w:rsidRPr="00E729F9">
        <w:rPr>
          <w:szCs w:val="22"/>
        </w:rPr>
        <w:t xml:space="preserve">It </w:t>
      </w:r>
      <w:r w:rsidR="00545942" w:rsidRPr="00E729F9">
        <w:rPr>
          <w:szCs w:val="22"/>
        </w:rPr>
        <w:t>is</w:t>
      </w:r>
      <w:r w:rsidRPr="00E729F9">
        <w:rPr>
          <w:szCs w:val="22"/>
        </w:rPr>
        <w:t xml:space="preserve"> perhaps </w:t>
      </w:r>
      <w:r w:rsidR="00545942" w:rsidRPr="00E729F9">
        <w:rPr>
          <w:szCs w:val="22"/>
        </w:rPr>
        <w:t>unsurprising</w:t>
      </w:r>
      <w:r w:rsidRPr="00E729F9">
        <w:rPr>
          <w:szCs w:val="22"/>
        </w:rPr>
        <w:t xml:space="preserve"> that productivity growth has been poor </w:t>
      </w:r>
      <w:r w:rsidR="00545942" w:rsidRPr="00E729F9">
        <w:rPr>
          <w:szCs w:val="22"/>
        </w:rPr>
        <w:t>during</w:t>
      </w:r>
      <w:r w:rsidRPr="00E729F9">
        <w:rPr>
          <w:szCs w:val="22"/>
        </w:rPr>
        <w:t xml:space="preserve"> the </w:t>
      </w:r>
      <w:r w:rsidR="00545942" w:rsidRPr="00E729F9">
        <w:rPr>
          <w:szCs w:val="22"/>
        </w:rPr>
        <w:t>economic</w:t>
      </w:r>
      <w:r w:rsidRPr="00E729F9">
        <w:rPr>
          <w:szCs w:val="22"/>
        </w:rPr>
        <w:t xml:space="preserve"> </w:t>
      </w:r>
      <w:r w:rsidR="00545942" w:rsidRPr="00E729F9">
        <w:rPr>
          <w:szCs w:val="22"/>
        </w:rPr>
        <w:t>downturn</w:t>
      </w:r>
      <w:r w:rsidRPr="00E729F9">
        <w:rPr>
          <w:szCs w:val="22"/>
        </w:rPr>
        <w:t xml:space="preserve">. The relative decline in high productivity sectors, low investment, slow growth in the economy and weak demand that accompanied the UK’s economic </w:t>
      </w:r>
      <w:r w:rsidR="00545942" w:rsidRPr="00E729F9">
        <w:rPr>
          <w:szCs w:val="22"/>
        </w:rPr>
        <w:t>difficulties</w:t>
      </w:r>
      <w:r w:rsidRPr="00E729F9">
        <w:rPr>
          <w:szCs w:val="22"/>
        </w:rPr>
        <w:t xml:space="preserve"> have not been conducive to rapid increases in productivity but, as described above, GDP, demand and investment are now recovering, which should mean that productivity will also recover, after a lag.</w:t>
      </w:r>
    </w:p>
    <w:p w:rsidR="005019EC" w:rsidRPr="00E729F9" w:rsidRDefault="003712C5" w:rsidP="00E729F9">
      <w:pPr>
        <w:pStyle w:val="T5TextBody"/>
        <w:spacing w:line="276" w:lineRule="auto"/>
        <w:rPr>
          <w:szCs w:val="22"/>
        </w:rPr>
      </w:pPr>
      <w:r w:rsidRPr="00E729F9">
        <w:rPr>
          <w:szCs w:val="22"/>
        </w:rPr>
        <w:t>Certainly fears that the UK was suffering from a “productivity puzzle”, wh</w:t>
      </w:r>
      <w:r>
        <w:rPr>
          <w:szCs w:val="22"/>
        </w:rPr>
        <w:t>ich would lead</w:t>
      </w:r>
      <w:r w:rsidRPr="00E729F9">
        <w:rPr>
          <w:szCs w:val="22"/>
        </w:rPr>
        <w:t xml:space="preserve"> employers </w:t>
      </w:r>
      <w:r>
        <w:rPr>
          <w:szCs w:val="22"/>
        </w:rPr>
        <w:t>to</w:t>
      </w:r>
      <w:r w:rsidRPr="00E729F9">
        <w:rPr>
          <w:szCs w:val="22"/>
        </w:rPr>
        <w:t xml:space="preserve"> shed workers at some point, have proved to be unfounded, and the quickening economy</w:t>
      </w:r>
      <w:r>
        <w:rPr>
          <w:szCs w:val="22"/>
        </w:rPr>
        <w:t xml:space="preserve"> and strong recent employment growth</w:t>
      </w:r>
      <w:r w:rsidRPr="00E729F9">
        <w:rPr>
          <w:szCs w:val="22"/>
        </w:rPr>
        <w:t xml:space="preserve"> </w:t>
      </w:r>
      <w:r>
        <w:rPr>
          <w:szCs w:val="22"/>
        </w:rPr>
        <w:t xml:space="preserve">has </w:t>
      </w:r>
      <w:r w:rsidRPr="00E729F9">
        <w:rPr>
          <w:szCs w:val="22"/>
        </w:rPr>
        <w:t>render</w:t>
      </w:r>
      <w:r>
        <w:rPr>
          <w:szCs w:val="22"/>
        </w:rPr>
        <w:t>ed</w:t>
      </w:r>
      <w:r w:rsidRPr="00E729F9">
        <w:rPr>
          <w:szCs w:val="22"/>
        </w:rPr>
        <w:t xml:space="preserve"> such an outcome </w:t>
      </w:r>
      <w:r>
        <w:rPr>
          <w:szCs w:val="22"/>
        </w:rPr>
        <w:t>highly unlikely</w:t>
      </w:r>
      <w:r w:rsidRPr="00E729F9">
        <w:rPr>
          <w:szCs w:val="22"/>
        </w:rPr>
        <w:t xml:space="preserve">. </w:t>
      </w:r>
      <w:r w:rsidR="00545942" w:rsidRPr="00E729F9">
        <w:rPr>
          <w:szCs w:val="22"/>
        </w:rPr>
        <w:t>Indeed, the opposite has happened, with rapid employment growth concentrated in the lower skilled, lower paid industries.</w:t>
      </w:r>
    </w:p>
    <w:p w:rsidR="00545942" w:rsidRPr="00E729F9" w:rsidRDefault="00545942" w:rsidP="00E729F9">
      <w:pPr>
        <w:pStyle w:val="T5TextBody"/>
        <w:spacing w:line="276" w:lineRule="auto"/>
        <w:rPr>
          <w:szCs w:val="22"/>
        </w:rPr>
      </w:pPr>
      <w:r w:rsidRPr="00E729F9">
        <w:rPr>
          <w:szCs w:val="22"/>
        </w:rPr>
        <w:t xml:space="preserve">One under-studied area that may have impacted negatively on productivity has been the shift to self-employment. The TUC has been very sceptical about claims that this represents a new wave of entrepreneurship, not least because the latest </w:t>
      </w:r>
      <w:r w:rsidRPr="00E729F9">
        <w:rPr>
          <w:szCs w:val="22"/>
        </w:rPr>
        <w:lastRenderedPageBreak/>
        <w:t>figures show the average income from self-employment declared for tax purposes equating to only £207 per week</w:t>
      </w:r>
      <w:r w:rsidRPr="00E729F9">
        <w:rPr>
          <w:rStyle w:val="FootnoteReference"/>
          <w:sz w:val="22"/>
          <w:szCs w:val="22"/>
        </w:rPr>
        <w:footnoteReference w:id="23"/>
      </w:r>
      <w:r w:rsidRPr="00E729F9">
        <w:rPr>
          <w:szCs w:val="22"/>
        </w:rPr>
        <w:t xml:space="preserve">. We </w:t>
      </w:r>
      <w:r w:rsidR="0048264B">
        <w:rPr>
          <w:szCs w:val="22"/>
        </w:rPr>
        <w:t>hypothesise</w:t>
      </w:r>
      <w:r w:rsidRPr="00E729F9">
        <w:rPr>
          <w:szCs w:val="22"/>
        </w:rPr>
        <w:t xml:space="preserve"> that a growing number of under-employed self-employed people working part time might hold back productivity growth rather than boost it.</w:t>
      </w:r>
    </w:p>
    <w:p w:rsidR="005019EC" w:rsidRDefault="0027794F" w:rsidP="00E729F9">
      <w:pPr>
        <w:pStyle w:val="T5TextBody"/>
        <w:spacing w:line="276" w:lineRule="auto"/>
        <w:rPr>
          <w:szCs w:val="22"/>
        </w:rPr>
      </w:pPr>
      <w:r w:rsidRPr="00E729F9">
        <w:rPr>
          <w:szCs w:val="22"/>
        </w:rPr>
        <w:t>The Bank of England has been surprised that productivity growth has not been stronger, but says that “there are ... reasons to expect that it will pick up as the recovery progresses</w:t>
      </w:r>
      <w:r w:rsidRPr="00E729F9">
        <w:rPr>
          <w:rStyle w:val="FootnoteReference"/>
          <w:sz w:val="22"/>
          <w:szCs w:val="22"/>
        </w:rPr>
        <w:footnoteReference w:id="24"/>
      </w:r>
      <w:r w:rsidRPr="00E729F9">
        <w:rPr>
          <w:szCs w:val="22"/>
        </w:rPr>
        <w:t>”, including the likelihood that new employees will become more productive as they become more experienced.</w:t>
      </w:r>
    </w:p>
    <w:p w:rsidR="0048264B" w:rsidRPr="00E729F9" w:rsidRDefault="0048264B" w:rsidP="0048264B">
      <w:pPr>
        <w:pStyle w:val="T5TextBody"/>
        <w:spacing w:line="276" w:lineRule="auto"/>
        <w:rPr>
          <w:szCs w:val="22"/>
        </w:rPr>
      </w:pPr>
      <w:r>
        <w:rPr>
          <w:szCs w:val="22"/>
        </w:rPr>
        <w:t>They also note that</w:t>
      </w:r>
      <w:r w:rsidRPr="00E729F9">
        <w:rPr>
          <w:color w:val="1F497D"/>
          <w:szCs w:val="22"/>
        </w:rPr>
        <w:t xml:space="preserve"> </w:t>
      </w:r>
      <w:r w:rsidRPr="00E729F9">
        <w:rPr>
          <w:szCs w:val="22"/>
        </w:rPr>
        <w:t>‘although productivity and average household real incomes have yet to stage a meaningful recovery, the Committee envisages that they will rise over time, and so underpin a sustained expansion</w:t>
      </w:r>
      <w:r w:rsidRPr="00E729F9">
        <w:rPr>
          <w:rStyle w:val="FootnoteReference"/>
          <w:sz w:val="22"/>
          <w:szCs w:val="22"/>
        </w:rPr>
        <w:footnoteReference w:id="25"/>
      </w:r>
      <w:r w:rsidRPr="00E729F9">
        <w:rPr>
          <w:szCs w:val="22"/>
        </w:rPr>
        <w:t>”.</w:t>
      </w:r>
    </w:p>
    <w:p w:rsidR="0048264B" w:rsidRPr="00E729F9" w:rsidRDefault="0048264B" w:rsidP="0048264B">
      <w:pPr>
        <w:pStyle w:val="T5TextBody"/>
        <w:spacing w:line="276" w:lineRule="auto"/>
        <w:rPr>
          <w:szCs w:val="22"/>
        </w:rPr>
      </w:pPr>
      <w:r>
        <w:rPr>
          <w:szCs w:val="22"/>
        </w:rPr>
        <w:t>W</w:t>
      </w:r>
      <w:r w:rsidRPr="00E729F9">
        <w:rPr>
          <w:szCs w:val="22"/>
        </w:rPr>
        <w:t xml:space="preserve">e would </w:t>
      </w:r>
      <w:r>
        <w:rPr>
          <w:szCs w:val="22"/>
        </w:rPr>
        <w:t xml:space="preserve">also </w:t>
      </w:r>
      <w:r w:rsidRPr="00E729F9">
        <w:rPr>
          <w:szCs w:val="22"/>
        </w:rPr>
        <w:t xml:space="preserve">expect improvement as greater investment takes effect and new hirings settle in. As set out above, with investment performance already beginning to </w:t>
      </w:r>
      <w:r>
        <w:rPr>
          <w:szCs w:val="22"/>
        </w:rPr>
        <w:t>strengthen</w:t>
      </w:r>
      <w:r w:rsidRPr="00E729F9">
        <w:rPr>
          <w:szCs w:val="22"/>
        </w:rPr>
        <w:t xml:space="preserve">, and with both government and opposition committed to industrial and economic policy measures which seek to boost the UK’s investment share, recent improvements look set to be sustained in the future. </w:t>
      </w:r>
    </w:p>
    <w:p w:rsidR="0048264B" w:rsidRPr="00E729F9" w:rsidRDefault="0048264B" w:rsidP="0048264B">
      <w:pPr>
        <w:pStyle w:val="T5TextBody"/>
        <w:spacing w:line="276" w:lineRule="auto"/>
        <w:rPr>
          <w:szCs w:val="22"/>
        </w:rPr>
      </w:pPr>
      <w:r w:rsidRPr="00E729F9">
        <w:rPr>
          <w:szCs w:val="22"/>
        </w:rPr>
        <w:t xml:space="preserve">In addition, corporate investment tends to have a significant multiplier effect. Investment in construction, for example, is spread down to smaller firms via the sub-contracting and supply chains, and increased hiring and earnings growth leads to more spending in retail and so on. The positive impacts of investment improvements will be felt widely across the economy, not only in the specific sectors they are concentrated in. </w:t>
      </w:r>
    </w:p>
    <w:p w:rsidR="005673E8" w:rsidRPr="00E729F9" w:rsidRDefault="00BE2BAE" w:rsidP="00E729F9">
      <w:pPr>
        <w:pStyle w:val="T5TextBody"/>
        <w:spacing w:line="276" w:lineRule="auto"/>
        <w:rPr>
          <w:szCs w:val="22"/>
        </w:rPr>
      </w:pPr>
      <w:r w:rsidRPr="00E729F9">
        <w:rPr>
          <w:szCs w:val="22"/>
        </w:rPr>
        <w:t xml:space="preserve">The TUC recognises that in the long-run sustained productivity growth is vital if </w:t>
      </w:r>
      <w:r w:rsidR="005673E8" w:rsidRPr="00E729F9">
        <w:rPr>
          <w:szCs w:val="22"/>
        </w:rPr>
        <w:t xml:space="preserve">the recovery is to remain strong and </w:t>
      </w:r>
      <w:r w:rsidRPr="00E729F9">
        <w:rPr>
          <w:szCs w:val="22"/>
        </w:rPr>
        <w:t>wages are to rise across the economy</w:t>
      </w:r>
      <w:r w:rsidR="0048264B">
        <w:rPr>
          <w:szCs w:val="22"/>
        </w:rPr>
        <w:t>, and as we set out above we also believe there is strong evidence to suggest that such an improvement is on its way.</w:t>
      </w:r>
    </w:p>
    <w:p w:rsidR="00BE2BAE" w:rsidRPr="00E729F9" w:rsidRDefault="00BE2BAE" w:rsidP="00E729F9">
      <w:pPr>
        <w:pStyle w:val="T5TextBody"/>
        <w:spacing w:line="276" w:lineRule="auto"/>
        <w:rPr>
          <w:szCs w:val="22"/>
        </w:rPr>
      </w:pPr>
      <w:r w:rsidRPr="00E729F9">
        <w:rPr>
          <w:szCs w:val="22"/>
        </w:rPr>
        <w:t xml:space="preserve">Nevertheless, given the compositional change driving recent productivity trends it does not hold that </w:t>
      </w:r>
      <w:r w:rsidR="00565443">
        <w:rPr>
          <w:szCs w:val="22"/>
        </w:rPr>
        <w:t xml:space="preserve">aggregate </w:t>
      </w:r>
      <w:r w:rsidRPr="00E729F9">
        <w:rPr>
          <w:szCs w:val="22"/>
        </w:rPr>
        <w:t xml:space="preserve">productivity growth is an essential prerequisite for substantial NMW increases. </w:t>
      </w:r>
    </w:p>
    <w:p w:rsidR="0014787E" w:rsidRPr="00E729F9" w:rsidRDefault="001C6BC9" w:rsidP="00E729F9">
      <w:pPr>
        <w:pStyle w:val="T5TextBody"/>
        <w:spacing w:line="276" w:lineRule="auto"/>
        <w:rPr>
          <w:szCs w:val="22"/>
        </w:rPr>
      </w:pPr>
      <w:r>
        <w:rPr>
          <w:szCs w:val="22"/>
        </w:rPr>
        <w:t xml:space="preserve">There are </w:t>
      </w:r>
      <w:r w:rsidRPr="00E729F9">
        <w:rPr>
          <w:szCs w:val="22"/>
        </w:rPr>
        <w:t>some promising signs</w:t>
      </w:r>
      <w:r>
        <w:rPr>
          <w:szCs w:val="22"/>
        </w:rPr>
        <w:t>.</w:t>
      </w:r>
      <w:r w:rsidRPr="00E729F9">
        <w:rPr>
          <w:szCs w:val="22"/>
        </w:rPr>
        <w:t xml:space="preserve"> </w:t>
      </w:r>
      <w:r w:rsidR="00B86E34" w:rsidRPr="00E729F9">
        <w:rPr>
          <w:szCs w:val="22"/>
        </w:rPr>
        <w:t xml:space="preserve">This is particularly the case </w:t>
      </w:r>
      <w:r w:rsidRPr="00E729F9">
        <w:rPr>
          <w:szCs w:val="22"/>
        </w:rPr>
        <w:t xml:space="preserve">when the focus narrows to </w:t>
      </w:r>
      <w:r>
        <w:rPr>
          <w:szCs w:val="22"/>
        </w:rPr>
        <w:t xml:space="preserve">productivity trends in </w:t>
      </w:r>
      <w:r w:rsidRPr="00E729F9">
        <w:rPr>
          <w:szCs w:val="22"/>
        </w:rPr>
        <w:t>minimum wage sectors,</w:t>
      </w:r>
      <w:r w:rsidR="008E01AD" w:rsidRPr="00E729F9">
        <w:rPr>
          <w:szCs w:val="22"/>
        </w:rPr>
        <w:t xml:space="preserve"> as output per hour has risen by 1.4</w:t>
      </w:r>
      <w:r w:rsidR="00B86E34" w:rsidRPr="00E729F9">
        <w:rPr>
          <w:szCs w:val="22"/>
        </w:rPr>
        <w:t xml:space="preserve"> per cent</w:t>
      </w:r>
      <w:r w:rsidR="008E01AD" w:rsidRPr="00E729F9">
        <w:rPr>
          <w:szCs w:val="22"/>
        </w:rPr>
        <w:t xml:space="preserve"> in the hospitality sector</w:t>
      </w:r>
      <w:r>
        <w:rPr>
          <w:szCs w:val="22"/>
        </w:rPr>
        <w:t>, by</w:t>
      </w:r>
      <w:r w:rsidR="008E01AD" w:rsidRPr="00E729F9">
        <w:rPr>
          <w:szCs w:val="22"/>
        </w:rPr>
        <w:t xml:space="preserve"> 1.2</w:t>
      </w:r>
      <w:r w:rsidR="00B86E34" w:rsidRPr="00E729F9">
        <w:rPr>
          <w:szCs w:val="22"/>
        </w:rPr>
        <w:t xml:space="preserve"> per cent</w:t>
      </w:r>
      <w:r w:rsidR="008E01AD" w:rsidRPr="00E729F9">
        <w:rPr>
          <w:szCs w:val="22"/>
        </w:rPr>
        <w:t xml:space="preserve"> in retail, and by 5 per cent in the textiles and footwear sector</w:t>
      </w:r>
      <w:r w:rsidRPr="001C6BC9">
        <w:rPr>
          <w:szCs w:val="22"/>
        </w:rPr>
        <w:t xml:space="preserve"> </w:t>
      </w:r>
      <w:r w:rsidRPr="00E729F9">
        <w:rPr>
          <w:szCs w:val="22"/>
        </w:rPr>
        <w:t>during the past year</w:t>
      </w:r>
      <w:r w:rsidRPr="00E729F9">
        <w:rPr>
          <w:rStyle w:val="FootnoteReference"/>
          <w:sz w:val="22"/>
          <w:szCs w:val="22"/>
        </w:rPr>
        <w:t xml:space="preserve"> </w:t>
      </w:r>
      <w:r w:rsidR="008E01AD" w:rsidRPr="00E729F9">
        <w:rPr>
          <w:rStyle w:val="FootnoteReference"/>
          <w:sz w:val="22"/>
          <w:szCs w:val="22"/>
        </w:rPr>
        <w:footnoteReference w:id="26"/>
      </w:r>
      <w:r w:rsidR="008E01AD" w:rsidRPr="00E729F9">
        <w:rPr>
          <w:szCs w:val="22"/>
        </w:rPr>
        <w:t>.</w:t>
      </w:r>
      <w:r w:rsidRPr="001C6BC9">
        <w:rPr>
          <w:szCs w:val="22"/>
        </w:rPr>
        <w:t xml:space="preserve"> </w:t>
      </w:r>
      <w:r w:rsidRPr="00E729F9">
        <w:rPr>
          <w:szCs w:val="22"/>
        </w:rPr>
        <w:t xml:space="preserve"> </w:t>
      </w:r>
    </w:p>
    <w:p w:rsidR="0014787E" w:rsidRPr="00E729F9" w:rsidRDefault="008E01AD" w:rsidP="00E729F9">
      <w:pPr>
        <w:pStyle w:val="T5TextBody"/>
        <w:spacing w:line="276" w:lineRule="auto"/>
        <w:rPr>
          <w:szCs w:val="22"/>
        </w:rPr>
      </w:pPr>
      <w:r w:rsidRPr="00E729F9">
        <w:rPr>
          <w:szCs w:val="22"/>
        </w:rPr>
        <w:lastRenderedPageBreak/>
        <w:t xml:space="preserve">In contrast, some surprising </w:t>
      </w:r>
      <w:r w:rsidR="001C6BC9">
        <w:rPr>
          <w:szCs w:val="22"/>
        </w:rPr>
        <w:t xml:space="preserve">non-NMW </w:t>
      </w:r>
      <w:r w:rsidRPr="00E729F9">
        <w:rPr>
          <w:szCs w:val="22"/>
        </w:rPr>
        <w:t>sectors appear to have been suffering productivity falls, with information and communication down 1.1 per cent, professional, scientific and technical activities down 1.3 per cent, and arts, entertainment and sport down by 4.2 per cent.</w:t>
      </w:r>
      <w:r w:rsidR="008F6067" w:rsidRPr="00E729F9">
        <w:rPr>
          <w:szCs w:val="22"/>
        </w:rPr>
        <w:t xml:space="preserve"> In </w:t>
      </w:r>
      <w:r w:rsidR="0027794F" w:rsidRPr="00E729F9">
        <w:rPr>
          <w:szCs w:val="22"/>
        </w:rPr>
        <w:t>particular</w:t>
      </w:r>
      <w:r w:rsidR="008F6067" w:rsidRPr="00E729F9">
        <w:rPr>
          <w:szCs w:val="22"/>
        </w:rPr>
        <w:t xml:space="preserve">, </w:t>
      </w:r>
      <w:r w:rsidR="0027794F" w:rsidRPr="00E729F9">
        <w:rPr>
          <w:szCs w:val="22"/>
        </w:rPr>
        <w:t>productivity</w:t>
      </w:r>
      <w:r w:rsidR="008F6067" w:rsidRPr="00E729F9">
        <w:rPr>
          <w:szCs w:val="22"/>
        </w:rPr>
        <w:t xml:space="preserve"> per hour fell by 1.1 per cent in the pivotal finance sector. There is, however, little doubt that </w:t>
      </w:r>
      <w:r w:rsidR="0027794F" w:rsidRPr="00E729F9">
        <w:rPr>
          <w:szCs w:val="22"/>
        </w:rPr>
        <w:t>finance</w:t>
      </w:r>
      <w:r w:rsidR="008F6067" w:rsidRPr="00E729F9">
        <w:rPr>
          <w:szCs w:val="22"/>
        </w:rPr>
        <w:t xml:space="preserve"> will recover, </w:t>
      </w:r>
      <w:r w:rsidR="0027794F" w:rsidRPr="00E729F9">
        <w:rPr>
          <w:szCs w:val="22"/>
        </w:rPr>
        <w:t>especially</w:t>
      </w:r>
      <w:r w:rsidR="008F6067" w:rsidRPr="00E729F9">
        <w:rPr>
          <w:szCs w:val="22"/>
        </w:rPr>
        <w:t xml:space="preserve"> as the return of economic </w:t>
      </w:r>
      <w:r w:rsidR="0027794F" w:rsidRPr="00E729F9">
        <w:rPr>
          <w:szCs w:val="22"/>
        </w:rPr>
        <w:t>growth will</w:t>
      </w:r>
      <w:r w:rsidR="008F6067" w:rsidRPr="00E729F9">
        <w:rPr>
          <w:szCs w:val="22"/>
        </w:rPr>
        <w:t xml:space="preserve"> help to stabilise its position.</w:t>
      </w:r>
    </w:p>
    <w:p w:rsidR="00782D47" w:rsidRPr="00322AD3" w:rsidRDefault="00782D47" w:rsidP="00B86E34">
      <w:pPr>
        <w:pStyle w:val="T5TextBody"/>
        <w:spacing w:line="276" w:lineRule="auto"/>
        <w:rPr>
          <w:szCs w:val="22"/>
        </w:rPr>
      </w:pPr>
    </w:p>
    <w:p w:rsidR="0027378E" w:rsidRPr="0027378E" w:rsidRDefault="0027378E" w:rsidP="0027378E">
      <w:pPr>
        <w:pStyle w:val="T5TextBody"/>
        <w:rPr>
          <w:rFonts w:ascii="Frutiger 55" w:hAnsi="Frutiger 55"/>
          <w:b/>
        </w:rPr>
      </w:pPr>
      <w:r w:rsidRPr="0027378E">
        <w:rPr>
          <w:rFonts w:ascii="Frutiger 55" w:hAnsi="Frutiger 55"/>
          <w:b/>
        </w:rPr>
        <w:t xml:space="preserve">5: Young people </w:t>
      </w:r>
    </w:p>
    <w:p w:rsidR="006F4724" w:rsidRDefault="006F4724" w:rsidP="006F4724">
      <w:pPr>
        <w:pStyle w:val="T5TextBody"/>
        <w:spacing w:line="276" w:lineRule="auto"/>
        <w:rPr>
          <w:szCs w:val="22"/>
          <w:lang w:val="en-US" w:eastAsia="en-GB"/>
        </w:rPr>
      </w:pPr>
      <w:r>
        <w:rPr>
          <w:szCs w:val="22"/>
          <w:lang w:val="en-US" w:eastAsia="en-GB"/>
        </w:rPr>
        <w:t>In recent years, t</w:t>
      </w:r>
      <w:r w:rsidRPr="009D2F9D">
        <w:rPr>
          <w:szCs w:val="22"/>
          <w:lang w:val="en-US" w:eastAsia="en-GB"/>
        </w:rPr>
        <w:t xml:space="preserve">he </w:t>
      </w:r>
      <w:r>
        <w:rPr>
          <w:szCs w:val="22"/>
          <w:lang w:val="en-US" w:eastAsia="en-GB"/>
        </w:rPr>
        <w:t xml:space="preserve">Low Pay Commission has been very concerned about the </w:t>
      </w:r>
      <w:r w:rsidRPr="009D2F9D">
        <w:rPr>
          <w:szCs w:val="22"/>
          <w:lang w:val="en-US" w:eastAsia="en-GB"/>
        </w:rPr>
        <w:t>position of young people</w:t>
      </w:r>
      <w:r>
        <w:rPr>
          <w:szCs w:val="22"/>
          <w:lang w:val="en-US" w:eastAsia="en-GB"/>
        </w:rPr>
        <w:t>, as the fall in new job opportunities led to very high unemployment levels for those trying to enter the labour market.</w:t>
      </w:r>
    </w:p>
    <w:p w:rsidR="00E729F9" w:rsidRDefault="006F4724" w:rsidP="00E729F9">
      <w:pPr>
        <w:pStyle w:val="T5TextBody"/>
        <w:spacing w:line="276" w:lineRule="auto"/>
        <w:rPr>
          <w:szCs w:val="22"/>
          <w:lang w:val="en-US" w:eastAsia="en-GB"/>
        </w:rPr>
      </w:pPr>
      <w:r>
        <w:rPr>
          <w:szCs w:val="22"/>
          <w:lang w:val="en-US" w:eastAsia="en-GB"/>
        </w:rPr>
        <w:t xml:space="preserve">Whilst there are not yet any grounds for complacency, it is obvious that the labour </w:t>
      </w:r>
      <w:r w:rsidR="0027794F">
        <w:rPr>
          <w:szCs w:val="22"/>
          <w:lang w:val="en-US" w:eastAsia="en-GB"/>
        </w:rPr>
        <w:t>market</w:t>
      </w:r>
      <w:r>
        <w:rPr>
          <w:szCs w:val="22"/>
          <w:lang w:val="en-US" w:eastAsia="en-GB"/>
        </w:rPr>
        <w:t xml:space="preserve"> for young people is rapidly </w:t>
      </w:r>
      <w:r w:rsidR="0027794F">
        <w:rPr>
          <w:szCs w:val="22"/>
          <w:lang w:val="en-US" w:eastAsia="en-GB"/>
        </w:rPr>
        <w:t>improving</w:t>
      </w:r>
      <w:r>
        <w:rPr>
          <w:szCs w:val="22"/>
          <w:lang w:val="en-US" w:eastAsia="en-GB"/>
        </w:rPr>
        <w:t xml:space="preserve">. In </w:t>
      </w:r>
      <w:r w:rsidR="0027794F">
        <w:rPr>
          <w:szCs w:val="22"/>
          <w:lang w:val="en-US" w:eastAsia="en-GB"/>
        </w:rPr>
        <w:t>August</w:t>
      </w:r>
      <w:r>
        <w:rPr>
          <w:szCs w:val="22"/>
          <w:lang w:val="en-US" w:eastAsia="en-GB"/>
        </w:rPr>
        <w:t xml:space="preserve"> 2014 the DWP announced a very </w:t>
      </w:r>
      <w:r w:rsidR="00E729F9">
        <w:rPr>
          <w:szCs w:val="22"/>
          <w:lang w:val="en-US" w:eastAsia="en-GB"/>
        </w:rPr>
        <w:t>substantial</w:t>
      </w:r>
      <w:r>
        <w:rPr>
          <w:szCs w:val="22"/>
          <w:lang w:val="en-US" w:eastAsia="en-GB"/>
        </w:rPr>
        <w:t xml:space="preserve"> fall in youth unemployment:</w:t>
      </w:r>
    </w:p>
    <w:p w:rsidR="006F4724" w:rsidRPr="00E729F9" w:rsidRDefault="001C6BC9" w:rsidP="00E729F9">
      <w:pPr>
        <w:pStyle w:val="T5TextBody"/>
        <w:spacing w:line="276" w:lineRule="auto"/>
        <w:rPr>
          <w:i/>
          <w:snapToGrid/>
          <w:szCs w:val="22"/>
          <w:lang w:eastAsia="en-GB"/>
        </w:rPr>
      </w:pPr>
      <w:r>
        <w:rPr>
          <w:i/>
          <w:snapToGrid/>
          <w:szCs w:val="22"/>
          <w:lang w:eastAsia="en-GB"/>
        </w:rPr>
        <w:t>“</w:t>
      </w:r>
      <w:r w:rsidR="006F4724" w:rsidRPr="00E729F9">
        <w:rPr>
          <w:i/>
          <w:snapToGrid/>
          <w:szCs w:val="22"/>
          <w:lang w:eastAsia="en-GB"/>
        </w:rPr>
        <w:t>Youth unemployment has fallen by 206,000 over the past year, which is the largest drop since records began in 1984, bringing it to the lowest level for nearly 6 years. The youth unemployment rate is down 4.5 percentage points compared to a year ago.</w:t>
      </w:r>
    </w:p>
    <w:p w:rsidR="006F4724" w:rsidRPr="00E729F9" w:rsidRDefault="006F4724" w:rsidP="006F4724">
      <w:pPr>
        <w:widowControl/>
        <w:spacing w:before="100" w:beforeAutospacing="1" w:after="100" w:afterAutospacing="1" w:line="276" w:lineRule="auto"/>
        <w:rPr>
          <w:rFonts w:ascii="Sabon" w:hAnsi="Sabon"/>
          <w:i/>
          <w:snapToGrid/>
          <w:sz w:val="22"/>
          <w:szCs w:val="22"/>
          <w:lang w:eastAsia="en-GB"/>
        </w:rPr>
      </w:pPr>
      <w:r w:rsidRPr="00E729F9">
        <w:rPr>
          <w:rFonts w:ascii="Sabon" w:hAnsi="Sabon"/>
          <w:i/>
          <w:snapToGrid/>
          <w:sz w:val="22"/>
          <w:szCs w:val="22"/>
          <w:lang w:eastAsia="en-GB"/>
        </w:rPr>
        <w:t xml:space="preserve">Unemployment fell by 437,000 over the past year – and 132,000 in only the past 3 months – which is the biggest annual fall in 25 years. </w:t>
      </w:r>
      <w:r w:rsidRPr="00E729F9">
        <w:rPr>
          <w:rStyle w:val="FootnoteReference"/>
          <w:rFonts w:ascii="Sabon" w:hAnsi="Sabon"/>
          <w:i/>
          <w:snapToGrid/>
          <w:sz w:val="22"/>
          <w:szCs w:val="22"/>
          <w:lang w:eastAsia="en-GB"/>
        </w:rPr>
        <w:footnoteReference w:id="27"/>
      </w:r>
      <w:r w:rsidRPr="00E729F9">
        <w:rPr>
          <w:rFonts w:ascii="Sabon" w:hAnsi="Sabon"/>
          <w:i/>
          <w:snapToGrid/>
          <w:sz w:val="22"/>
          <w:szCs w:val="22"/>
          <w:lang w:eastAsia="en-GB"/>
        </w:rPr>
        <w:t>“</w:t>
      </w:r>
    </w:p>
    <w:p w:rsidR="00891197" w:rsidRPr="00314A07" w:rsidRDefault="0027794F" w:rsidP="00314A07">
      <w:pPr>
        <w:pStyle w:val="T5TextBody"/>
        <w:spacing w:line="276" w:lineRule="auto"/>
        <w:rPr>
          <w:szCs w:val="22"/>
          <w:lang w:val="en-US" w:eastAsia="en-GB"/>
        </w:rPr>
      </w:pPr>
      <w:r w:rsidRPr="00314A07">
        <w:rPr>
          <w:szCs w:val="22"/>
          <w:lang w:val="en-US" w:eastAsia="en-GB"/>
        </w:rPr>
        <w:t>Turning first to 18-24 year olds, the number in employment increased by 198,000 in the past year, and the employment rate is up by 3.7 percentage points.</w:t>
      </w:r>
    </w:p>
    <w:p w:rsidR="00B646C6" w:rsidRPr="00314A07" w:rsidRDefault="00B646C6" w:rsidP="00314A07">
      <w:pPr>
        <w:pStyle w:val="T5TextBody"/>
        <w:spacing w:line="276" w:lineRule="auto"/>
        <w:rPr>
          <w:szCs w:val="22"/>
          <w:lang w:val="en-US" w:eastAsia="en-GB"/>
        </w:rPr>
      </w:pPr>
      <w:r w:rsidRPr="00314A07">
        <w:rPr>
          <w:szCs w:val="22"/>
          <w:lang w:val="en-US" w:eastAsia="en-GB"/>
        </w:rPr>
        <w:t xml:space="preserve">In addition, the number of people in this </w:t>
      </w:r>
      <w:r w:rsidR="0027794F" w:rsidRPr="00314A07">
        <w:rPr>
          <w:szCs w:val="22"/>
          <w:lang w:val="en-US" w:eastAsia="en-GB"/>
        </w:rPr>
        <w:t>age</w:t>
      </w:r>
      <w:r w:rsidRPr="00314A07">
        <w:rPr>
          <w:szCs w:val="22"/>
          <w:lang w:val="en-US" w:eastAsia="en-GB"/>
        </w:rPr>
        <w:t xml:space="preserve"> group who are </w:t>
      </w:r>
      <w:r w:rsidR="0027794F" w:rsidRPr="00314A07">
        <w:rPr>
          <w:szCs w:val="22"/>
          <w:lang w:val="en-US" w:eastAsia="en-GB"/>
        </w:rPr>
        <w:t>unemployed has</w:t>
      </w:r>
      <w:r w:rsidRPr="00314A07">
        <w:rPr>
          <w:szCs w:val="22"/>
          <w:lang w:val="en-US" w:eastAsia="en-GB"/>
        </w:rPr>
        <w:t xml:space="preserve"> fallen by 173,000, which co</w:t>
      </w:r>
      <w:r w:rsidR="007A0191" w:rsidRPr="00314A07">
        <w:rPr>
          <w:szCs w:val="22"/>
          <w:lang w:val="en-US" w:eastAsia="en-GB"/>
        </w:rPr>
        <w:t>n</w:t>
      </w:r>
      <w:r w:rsidRPr="00314A07">
        <w:rPr>
          <w:szCs w:val="22"/>
          <w:lang w:val="en-US" w:eastAsia="en-GB"/>
        </w:rPr>
        <w:t>stit</w:t>
      </w:r>
      <w:r w:rsidR="007A0191" w:rsidRPr="00314A07">
        <w:rPr>
          <w:szCs w:val="22"/>
          <w:lang w:val="en-US" w:eastAsia="en-GB"/>
        </w:rPr>
        <w:t>ut</w:t>
      </w:r>
      <w:r w:rsidRPr="00314A07">
        <w:rPr>
          <w:szCs w:val="22"/>
          <w:lang w:val="en-US" w:eastAsia="en-GB"/>
        </w:rPr>
        <w:t>es a rate fall of 4.3 per cent over the past year</w:t>
      </w:r>
      <w:r w:rsidR="0027794F" w:rsidRPr="00314A07">
        <w:rPr>
          <w:szCs w:val="22"/>
          <w:lang w:val="en-US" w:eastAsia="en-GB"/>
        </w:rPr>
        <w:t>.</w:t>
      </w:r>
      <w:r w:rsidRPr="00314A07">
        <w:rPr>
          <w:szCs w:val="22"/>
          <w:lang w:val="en-US" w:eastAsia="en-GB"/>
        </w:rPr>
        <w:t xml:space="preserve"> </w:t>
      </w:r>
    </w:p>
    <w:p w:rsidR="00F02E9C" w:rsidRDefault="0027794F" w:rsidP="00314A07">
      <w:pPr>
        <w:pStyle w:val="T5TextBody"/>
        <w:spacing w:line="276" w:lineRule="auto"/>
        <w:rPr>
          <w:szCs w:val="22"/>
          <w:lang w:val="en-US" w:eastAsia="en-GB"/>
        </w:rPr>
      </w:pPr>
      <w:r w:rsidRPr="00314A07">
        <w:rPr>
          <w:szCs w:val="22"/>
          <w:lang w:val="en-US" w:eastAsia="en-GB"/>
        </w:rPr>
        <w:t>These</w:t>
      </w:r>
      <w:r w:rsidR="0046289D" w:rsidRPr="00314A07">
        <w:rPr>
          <w:szCs w:val="22"/>
          <w:lang w:val="en-US" w:eastAsia="en-GB"/>
        </w:rPr>
        <w:t xml:space="preserve"> </w:t>
      </w:r>
      <w:r w:rsidRPr="00314A07">
        <w:rPr>
          <w:szCs w:val="22"/>
          <w:lang w:val="en-US" w:eastAsia="en-GB"/>
        </w:rPr>
        <w:t>changes</w:t>
      </w:r>
      <w:r w:rsidR="0046289D" w:rsidRPr="00314A07">
        <w:rPr>
          <w:szCs w:val="22"/>
          <w:lang w:val="en-US" w:eastAsia="en-GB"/>
        </w:rPr>
        <w:t xml:space="preserve"> are set against a </w:t>
      </w:r>
      <w:r w:rsidR="00F02E9C">
        <w:rPr>
          <w:szCs w:val="22"/>
          <w:lang w:val="en-US" w:eastAsia="en-GB"/>
        </w:rPr>
        <w:t xml:space="preserve">long-run </w:t>
      </w:r>
      <w:r w:rsidRPr="00314A07">
        <w:rPr>
          <w:szCs w:val="22"/>
          <w:lang w:val="en-US" w:eastAsia="en-GB"/>
        </w:rPr>
        <w:t>background</w:t>
      </w:r>
      <w:r w:rsidR="0046289D" w:rsidRPr="00314A07">
        <w:rPr>
          <w:szCs w:val="22"/>
          <w:lang w:val="en-US" w:eastAsia="en-GB"/>
        </w:rPr>
        <w:t xml:space="preserve"> </w:t>
      </w:r>
      <w:r>
        <w:rPr>
          <w:szCs w:val="22"/>
          <w:lang w:val="en-US" w:eastAsia="en-GB"/>
        </w:rPr>
        <w:t>of</w:t>
      </w:r>
      <w:r w:rsidR="0046289D" w:rsidRPr="00314A07">
        <w:rPr>
          <w:szCs w:val="22"/>
          <w:lang w:val="en-US" w:eastAsia="en-GB"/>
        </w:rPr>
        <w:t xml:space="preserve"> </w:t>
      </w:r>
      <w:r w:rsidR="00F02E9C">
        <w:rPr>
          <w:szCs w:val="22"/>
          <w:lang w:val="en-US" w:eastAsia="en-GB"/>
        </w:rPr>
        <w:t>an increasing number of young</w:t>
      </w:r>
      <w:r w:rsidR="0046289D" w:rsidRPr="00314A07">
        <w:rPr>
          <w:szCs w:val="22"/>
          <w:lang w:val="en-US" w:eastAsia="en-GB"/>
        </w:rPr>
        <w:t xml:space="preserve"> people in this age group in full-time</w:t>
      </w:r>
      <w:r w:rsidR="00565443">
        <w:rPr>
          <w:szCs w:val="22"/>
          <w:lang w:val="en-US" w:eastAsia="en-GB"/>
        </w:rPr>
        <w:t xml:space="preserve"> education</w:t>
      </w:r>
      <w:r w:rsidR="00F02E9C">
        <w:rPr>
          <w:szCs w:val="22"/>
          <w:lang w:val="en-US" w:eastAsia="en-GB"/>
        </w:rPr>
        <w:t>.</w:t>
      </w:r>
      <w:r w:rsidR="0046289D" w:rsidRPr="00314A07">
        <w:rPr>
          <w:szCs w:val="22"/>
          <w:lang w:val="en-US" w:eastAsia="en-GB"/>
        </w:rPr>
        <w:t xml:space="preserve"> As the table below shows, this number has continued to </w:t>
      </w:r>
      <w:r w:rsidR="001C6BC9">
        <w:rPr>
          <w:szCs w:val="22"/>
          <w:lang w:val="en-US" w:eastAsia="en-GB"/>
        </w:rPr>
        <w:t>rise</w:t>
      </w:r>
      <w:r w:rsidR="0046289D" w:rsidRPr="00314A07">
        <w:rPr>
          <w:szCs w:val="22"/>
          <w:lang w:val="en-US" w:eastAsia="en-GB"/>
        </w:rPr>
        <w:t xml:space="preserve"> during the </w:t>
      </w:r>
      <w:r w:rsidRPr="00314A07">
        <w:rPr>
          <w:szCs w:val="22"/>
          <w:lang w:val="en-US" w:eastAsia="en-GB"/>
        </w:rPr>
        <w:t>recession</w:t>
      </w:r>
      <w:r w:rsidR="0046289D" w:rsidRPr="00314A07">
        <w:rPr>
          <w:szCs w:val="22"/>
          <w:lang w:val="en-US" w:eastAsia="en-GB"/>
        </w:rPr>
        <w:t xml:space="preserve"> </w:t>
      </w:r>
      <w:r w:rsidR="00F02E9C">
        <w:rPr>
          <w:szCs w:val="22"/>
          <w:lang w:val="en-US" w:eastAsia="en-GB"/>
        </w:rPr>
        <w:t xml:space="preserve">but the </w:t>
      </w:r>
      <w:r>
        <w:rPr>
          <w:szCs w:val="22"/>
          <w:lang w:val="en-US" w:eastAsia="en-GB"/>
        </w:rPr>
        <w:t>trend</w:t>
      </w:r>
      <w:r w:rsidR="00F02E9C">
        <w:rPr>
          <w:szCs w:val="22"/>
          <w:lang w:val="en-US" w:eastAsia="en-GB"/>
        </w:rPr>
        <w:t xml:space="preserve"> has now stalled. </w:t>
      </w:r>
      <w:r>
        <w:rPr>
          <w:szCs w:val="22"/>
          <w:lang w:val="en-US" w:eastAsia="en-GB"/>
        </w:rPr>
        <w:t>This is likely to reflect the growing opportunities in the labour market, the rise of vocational training (especially apprenticeships) and the growing cost of accessing higher education.</w:t>
      </w:r>
    </w:p>
    <w:p w:rsidR="00D110DB" w:rsidRDefault="00D110DB" w:rsidP="00314A07">
      <w:pPr>
        <w:pStyle w:val="T5TextBody"/>
        <w:spacing w:line="276" w:lineRule="auto"/>
        <w:rPr>
          <w:szCs w:val="22"/>
          <w:lang w:val="en-US" w:eastAsia="en-GB"/>
        </w:rPr>
      </w:pPr>
      <w:r w:rsidRPr="00314A07">
        <w:rPr>
          <w:szCs w:val="22"/>
          <w:lang w:val="en-US" w:eastAsia="en-GB"/>
        </w:rPr>
        <w:t xml:space="preserve">Given the </w:t>
      </w:r>
      <w:r w:rsidR="0027794F">
        <w:rPr>
          <w:szCs w:val="22"/>
          <w:lang w:val="en-US" w:eastAsia="en-GB"/>
        </w:rPr>
        <w:t>improving</w:t>
      </w:r>
      <w:r w:rsidR="00F02E9C">
        <w:rPr>
          <w:szCs w:val="22"/>
          <w:lang w:val="en-US" w:eastAsia="en-GB"/>
        </w:rPr>
        <w:t xml:space="preserve"> labour market</w:t>
      </w:r>
      <w:r w:rsidRPr="00314A07">
        <w:rPr>
          <w:szCs w:val="22"/>
          <w:lang w:val="en-US" w:eastAsia="en-GB"/>
        </w:rPr>
        <w:t xml:space="preserve">, it is not </w:t>
      </w:r>
      <w:r w:rsidR="0027794F" w:rsidRPr="00314A07">
        <w:rPr>
          <w:szCs w:val="22"/>
          <w:lang w:val="en-US" w:eastAsia="en-GB"/>
        </w:rPr>
        <w:t>surprising</w:t>
      </w:r>
      <w:r w:rsidRPr="00314A07">
        <w:rPr>
          <w:szCs w:val="22"/>
          <w:lang w:val="en-US" w:eastAsia="en-GB"/>
        </w:rPr>
        <w:t xml:space="preserve"> to learn that the </w:t>
      </w:r>
      <w:r w:rsidR="00F02E9C">
        <w:rPr>
          <w:szCs w:val="22"/>
          <w:lang w:val="en-US" w:eastAsia="en-GB"/>
        </w:rPr>
        <w:t xml:space="preserve">number </w:t>
      </w:r>
      <w:r w:rsidR="0027794F">
        <w:rPr>
          <w:szCs w:val="22"/>
          <w:lang w:val="en-US" w:eastAsia="en-GB"/>
        </w:rPr>
        <w:t>of</w:t>
      </w:r>
      <w:r w:rsidR="00F02E9C">
        <w:rPr>
          <w:szCs w:val="22"/>
          <w:lang w:val="en-US" w:eastAsia="en-GB"/>
        </w:rPr>
        <w:t xml:space="preserve"> </w:t>
      </w:r>
      <w:r w:rsidR="00F02E9C" w:rsidRPr="00314A07">
        <w:rPr>
          <w:szCs w:val="22"/>
          <w:lang w:val="en-US" w:eastAsia="en-GB"/>
        </w:rPr>
        <w:t xml:space="preserve">18-24 year old </w:t>
      </w:r>
      <w:r w:rsidRPr="00314A07">
        <w:rPr>
          <w:szCs w:val="22"/>
          <w:lang w:val="en-US" w:eastAsia="en-GB"/>
        </w:rPr>
        <w:t>NEET</w:t>
      </w:r>
      <w:r w:rsidR="00F02E9C">
        <w:rPr>
          <w:szCs w:val="22"/>
          <w:lang w:val="en-US" w:eastAsia="en-GB"/>
        </w:rPr>
        <w:t>s</w:t>
      </w:r>
      <w:r w:rsidR="00314A07" w:rsidRPr="00314A07">
        <w:rPr>
          <w:rStyle w:val="FootnoteReference"/>
          <w:sz w:val="22"/>
          <w:szCs w:val="22"/>
          <w:lang w:val="en-US" w:eastAsia="en-GB"/>
        </w:rPr>
        <w:footnoteReference w:id="28"/>
      </w:r>
      <w:r w:rsidRPr="00314A07">
        <w:rPr>
          <w:szCs w:val="22"/>
          <w:lang w:val="en-US" w:eastAsia="en-GB"/>
        </w:rPr>
        <w:t xml:space="preserve"> has fallen by</w:t>
      </w:r>
      <w:r w:rsidR="00314A07" w:rsidRPr="00314A07">
        <w:rPr>
          <w:szCs w:val="22"/>
          <w:lang w:val="en-US" w:eastAsia="en-GB"/>
        </w:rPr>
        <w:t xml:space="preserve"> 14.5 per </w:t>
      </w:r>
      <w:r w:rsidR="0027794F" w:rsidRPr="00314A07">
        <w:rPr>
          <w:szCs w:val="22"/>
          <w:lang w:val="en-US" w:eastAsia="en-GB"/>
        </w:rPr>
        <w:t>cent</w:t>
      </w:r>
      <w:r w:rsidR="00314A07" w:rsidRPr="00314A07">
        <w:rPr>
          <w:szCs w:val="22"/>
          <w:lang w:val="en-US" w:eastAsia="en-GB"/>
        </w:rPr>
        <w:t xml:space="preserve"> </w:t>
      </w:r>
      <w:r w:rsidRPr="00314A07">
        <w:rPr>
          <w:szCs w:val="22"/>
          <w:lang w:val="en-US" w:eastAsia="en-GB"/>
        </w:rPr>
        <w:t xml:space="preserve">during the past year, down </w:t>
      </w:r>
      <w:r w:rsidR="00314A07" w:rsidRPr="00314A07">
        <w:rPr>
          <w:szCs w:val="22"/>
          <w:lang w:val="en-US" w:eastAsia="en-GB"/>
        </w:rPr>
        <w:t xml:space="preserve">by 126,000 </w:t>
      </w:r>
      <w:r w:rsidRPr="00314A07">
        <w:rPr>
          <w:szCs w:val="22"/>
          <w:lang w:val="en-US" w:eastAsia="en-GB"/>
        </w:rPr>
        <w:t xml:space="preserve">to </w:t>
      </w:r>
      <w:r w:rsidR="00314A07" w:rsidRPr="00314A07">
        <w:rPr>
          <w:szCs w:val="22"/>
          <w:lang w:val="en-US" w:eastAsia="en-GB"/>
        </w:rPr>
        <w:t xml:space="preserve">reach </w:t>
      </w:r>
      <w:r w:rsidRPr="00314A07">
        <w:rPr>
          <w:szCs w:val="22"/>
          <w:lang w:val="en-US" w:eastAsia="en-GB"/>
        </w:rPr>
        <w:t>809,000</w:t>
      </w:r>
      <w:r w:rsidR="00314A07" w:rsidRPr="00314A07">
        <w:rPr>
          <w:szCs w:val="22"/>
          <w:lang w:val="en-US" w:eastAsia="en-GB"/>
        </w:rPr>
        <w:t xml:space="preserve"> NEETs</w:t>
      </w:r>
      <w:r w:rsidRPr="00314A07">
        <w:rPr>
          <w:szCs w:val="22"/>
          <w:lang w:val="en-US" w:eastAsia="en-GB"/>
        </w:rPr>
        <w:t xml:space="preserve">.  </w:t>
      </w:r>
    </w:p>
    <w:p w:rsidR="00B646C6" w:rsidRPr="00565443" w:rsidRDefault="0027794F" w:rsidP="0027378E">
      <w:pPr>
        <w:pStyle w:val="T5TextBody"/>
        <w:spacing w:line="276" w:lineRule="auto"/>
        <w:rPr>
          <w:szCs w:val="22"/>
          <w:lang w:val="en-US" w:eastAsia="en-GB"/>
        </w:rPr>
      </w:pPr>
      <w:r>
        <w:rPr>
          <w:szCs w:val="22"/>
          <w:lang w:val="en-US" w:eastAsia="en-GB"/>
        </w:rPr>
        <w:lastRenderedPageBreak/>
        <w:t>Our observation is that the recovery is now strongly boosting the labour market for young people in this age group, who are the best trained and educated cohort ever to enter the world of work.</w:t>
      </w:r>
    </w:p>
    <w:p w:rsidR="006F4724" w:rsidRDefault="006F4724" w:rsidP="0027378E">
      <w:pPr>
        <w:pStyle w:val="T5TextBody"/>
        <w:spacing w:line="276" w:lineRule="auto"/>
        <w:rPr>
          <w:rFonts w:ascii="Frutiger 55" w:hAnsi="Frutiger 55"/>
          <w:b/>
          <w:i/>
          <w:szCs w:val="22"/>
          <w:lang w:val="en-US" w:eastAsia="en-GB"/>
        </w:rPr>
      </w:pPr>
      <w:r>
        <w:rPr>
          <w:rFonts w:ascii="Frutiger 55" w:hAnsi="Frutiger 55"/>
          <w:b/>
          <w:i/>
          <w:szCs w:val="22"/>
          <w:lang w:val="en-US" w:eastAsia="en-GB"/>
        </w:rPr>
        <w:t xml:space="preserve">18-24 year olds </w:t>
      </w:r>
      <w:r w:rsidR="00B646C6">
        <w:rPr>
          <w:rFonts w:ascii="Frutiger 55" w:hAnsi="Frutiger 55"/>
          <w:b/>
          <w:i/>
          <w:szCs w:val="22"/>
          <w:lang w:val="en-US" w:eastAsia="en-GB"/>
        </w:rPr>
        <w:t>(thousands)</w:t>
      </w:r>
    </w:p>
    <w:tbl>
      <w:tblPr>
        <w:tblStyle w:val="TableGrid"/>
        <w:tblW w:w="7338" w:type="dxa"/>
        <w:tblLayout w:type="fixed"/>
        <w:tblLook w:val="04A0"/>
      </w:tblPr>
      <w:tblGrid>
        <w:gridCol w:w="838"/>
        <w:gridCol w:w="1647"/>
        <w:gridCol w:w="2443"/>
        <w:gridCol w:w="2410"/>
      </w:tblGrid>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p>
        </w:tc>
        <w:tc>
          <w:tcPr>
            <w:tcW w:w="1647" w:type="dxa"/>
          </w:tcPr>
          <w:p w:rsidR="0046289D" w:rsidRPr="00E729F9" w:rsidRDefault="0027794F" w:rsidP="00565443">
            <w:pPr>
              <w:pStyle w:val="T5TextBody"/>
              <w:spacing w:line="276" w:lineRule="auto"/>
              <w:jc w:val="center"/>
              <w:rPr>
                <w:b/>
                <w:i/>
                <w:szCs w:val="22"/>
                <w:lang w:val="en-US" w:eastAsia="en-GB"/>
              </w:rPr>
            </w:pPr>
            <w:r w:rsidRPr="00E729F9">
              <w:rPr>
                <w:b/>
                <w:i/>
                <w:szCs w:val="22"/>
                <w:lang w:val="en-US" w:eastAsia="en-GB"/>
              </w:rPr>
              <w:t>Employment</w:t>
            </w:r>
          </w:p>
        </w:tc>
        <w:tc>
          <w:tcPr>
            <w:tcW w:w="2443" w:type="dxa"/>
          </w:tcPr>
          <w:p w:rsidR="0046289D" w:rsidRPr="00E729F9" w:rsidRDefault="00565443" w:rsidP="00565443">
            <w:pPr>
              <w:pStyle w:val="T5TextBody"/>
              <w:spacing w:line="276" w:lineRule="auto"/>
              <w:jc w:val="center"/>
              <w:rPr>
                <w:b/>
                <w:i/>
                <w:szCs w:val="22"/>
                <w:lang w:val="en-US" w:eastAsia="en-GB"/>
              </w:rPr>
            </w:pPr>
            <w:r>
              <w:rPr>
                <w:b/>
                <w:i/>
                <w:szCs w:val="22"/>
                <w:lang w:val="en-US" w:eastAsia="en-GB"/>
              </w:rPr>
              <w:t>U</w:t>
            </w:r>
            <w:r w:rsidR="0027794F" w:rsidRPr="00E729F9">
              <w:rPr>
                <w:b/>
                <w:i/>
                <w:szCs w:val="22"/>
                <w:lang w:val="en-US" w:eastAsia="en-GB"/>
              </w:rPr>
              <w:t>nemployment</w:t>
            </w:r>
          </w:p>
        </w:tc>
        <w:tc>
          <w:tcPr>
            <w:tcW w:w="2410" w:type="dxa"/>
          </w:tcPr>
          <w:p w:rsidR="0046289D" w:rsidRPr="00E729F9" w:rsidRDefault="0046289D" w:rsidP="00565443">
            <w:pPr>
              <w:pStyle w:val="T5TextBody"/>
              <w:spacing w:line="276" w:lineRule="auto"/>
              <w:jc w:val="center"/>
              <w:rPr>
                <w:b/>
                <w:i/>
                <w:szCs w:val="22"/>
                <w:lang w:val="en-US" w:eastAsia="en-GB"/>
              </w:rPr>
            </w:pPr>
            <w:r w:rsidRPr="00E729F9">
              <w:rPr>
                <w:b/>
                <w:i/>
                <w:szCs w:val="22"/>
                <w:lang w:val="en-US" w:eastAsia="en-GB"/>
              </w:rPr>
              <w:t>In full-time education</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1992</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3,774 (65.4%)</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703 (15.7%)</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893</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1996</w:t>
            </w:r>
          </w:p>
        </w:tc>
        <w:tc>
          <w:tcPr>
            <w:tcW w:w="1647" w:type="dxa"/>
          </w:tcPr>
          <w:p w:rsidR="0046289D" w:rsidRPr="00A1347C" w:rsidRDefault="0027794F" w:rsidP="00565443">
            <w:pPr>
              <w:pStyle w:val="T5TextBody"/>
              <w:spacing w:line="276" w:lineRule="auto"/>
              <w:jc w:val="center"/>
              <w:rPr>
                <w:szCs w:val="22"/>
                <w:lang w:val="en-US" w:eastAsia="en-GB"/>
              </w:rPr>
            </w:pPr>
            <w:r w:rsidRPr="00A1347C">
              <w:rPr>
                <w:szCs w:val="22"/>
                <w:lang w:val="en-US" w:eastAsia="en-GB"/>
              </w:rPr>
              <w:t>3,256 (</w:t>
            </w:r>
            <w:r w:rsidR="0046289D" w:rsidRPr="00A1347C">
              <w:rPr>
                <w:szCs w:val="22"/>
                <w:lang w:val="en-US" w:eastAsia="en-GB"/>
              </w:rPr>
              <w:t>65.6%)</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546 (14.4%)</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1.026</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2000</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3,248 (67.2%)</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386 (10.6%)</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1,268</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2004</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3,526 (67.0%)</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404 (10.3%)</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1,428</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2008</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3,665 (64.1%)</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526 (12.6%)</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1,628</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2012</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3,338 (57.5%)</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809 (19.5%)</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1,826</w:t>
            </w:r>
          </w:p>
        </w:tc>
      </w:tr>
      <w:tr w:rsidR="0046289D" w:rsidTr="00D110DB">
        <w:tc>
          <w:tcPr>
            <w:tcW w:w="838" w:type="dxa"/>
          </w:tcPr>
          <w:p w:rsidR="0046289D" w:rsidRDefault="0046289D" w:rsidP="0027378E">
            <w:pPr>
              <w:pStyle w:val="T5TextBody"/>
              <w:spacing w:line="276" w:lineRule="auto"/>
              <w:rPr>
                <w:rFonts w:ascii="Frutiger 55" w:hAnsi="Frutiger 55"/>
                <w:b/>
                <w:i/>
                <w:szCs w:val="22"/>
                <w:lang w:val="en-US" w:eastAsia="en-GB"/>
              </w:rPr>
            </w:pPr>
            <w:r w:rsidRPr="00C23B98">
              <w:rPr>
                <w:b/>
                <w:szCs w:val="22"/>
                <w:lang w:val="en-US" w:eastAsia="en-GB"/>
              </w:rPr>
              <w:t>2013</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3,265 (56.7%)</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778 (19.2%)</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1,887</w:t>
            </w:r>
          </w:p>
        </w:tc>
      </w:tr>
      <w:tr w:rsidR="0046289D" w:rsidTr="00D110DB">
        <w:tc>
          <w:tcPr>
            <w:tcW w:w="838" w:type="dxa"/>
          </w:tcPr>
          <w:p w:rsidR="0046289D" w:rsidRPr="00C23B98" w:rsidRDefault="0046289D" w:rsidP="0027378E">
            <w:pPr>
              <w:pStyle w:val="T5TextBody"/>
              <w:spacing w:line="276" w:lineRule="auto"/>
              <w:rPr>
                <w:b/>
                <w:szCs w:val="22"/>
                <w:lang w:val="en-US" w:eastAsia="en-GB"/>
              </w:rPr>
            </w:pPr>
            <w:r w:rsidRPr="00C23B98">
              <w:rPr>
                <w:b/>
                <w:szCs w:val="22"/>
                <w:lang w:val="en-US" w:eastAsia="en-GB"/>
              </w:rPr>
              <w:t>2014</w:t>
            </w:r>
          </w:p>
        </w:tc>
        <w:tc>
          <w:tcPr>
            <w:tcW w:w="1647"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3,463 (60.4%)</w:t>
            </w:r>
          </w:p>
        </w:tc>
        <w:tc>
          <w:tcPr>
            <w:tcW w:w="2443" w:type="dxa"/>
          </w:tcPr>
          <w:p w:rsidR="0046289D" w:rsidRPr="00A1347C" w:rsidRDefault="0046289D" w:rsidP="00565443">
            <w:pPr>
              <w:pStyle w:val="T5TextBody"/>
              <w:spacing w:line="276" w:lineRule="auto"/>
              <w:jc w:val="center"/>
              <w:rPr>
                <w:szCs w:val="22"/>
                <w:lang w:val="en-US" w:eastAsia="en-GB"/>
              </w:rPr>
            </w:pPr>
            <w:r w:rsidRPr="00A1347C">
              <w:rPr>
                <w:szCs w:val="22"/>
                <w:lang w:val="en-US" w:eastAsia="en-GB"/>
              </w:rPr>
              <w:t>605 (14.9%)</w:t>
            </w:r>
          </w:p>
        </w:tc>
        <w:tc>
          <w:tcPr>
            <w:tcW w:w="2410" w:type="dxa"/>
          </w:tcPr>
          <w:p w:rsidR="0046289D" w:rsidRPr="00A1347C" w:rsidRDefault="00F02E9C" w:rsidP="00565443">
            <w:pPr>
              <w:pStyle w:val="T5TextBody"/>
              <w:spacing w:line="276" w:lineRule="auto"/>
              <w:jc w:val="center"/>
              <w:rPr>
                <w:szCs w:val="22"/>
                <w:lang w:val="en-US" w:eastAsia="en-GB"/>
              </w:rPr>
            </w:pPr>
            <w:r w:rsidRPr="00A1347C">
              <w:rPr>
                <w:szCs w:val="22"/>
                <w:lang w:val="en-US" w:eastAsia="en-GB"/>
              </w:rPr>
              <w:t>1,812</w:t>
            </w:r>
          </w:p>
        </w:tc>
      </w:tr>
    </w:tbl>
    <w:p w:rsidR="0046289D" w:rsidRDefault="00C03BA1" w:rsidP="00C03BA1">
      <w:pPr>
        <w:pStyle w:val="T5TextBody"/>
        <w:spacing w:line="276" w:lineRule="auto"/>
        <w:rPr>
          <w:sz w:val="18"/>
          <w:szCs w:val="18"/>
          <w:lang w:val="en-US" w:eastAsia="en-GB"/>
        </w:rPr>
      </w:pPr>
      <w:r w:rsidRPr="00DA2096">
        <w:rPr>
          <w:sz w:val="18"/>
          <w:szCs w:val="18"/>
          <w:lang w:val="en-US" w:eastAsia="en-GB"/>
        </w:rPr>
        <w:t>Source</w:t>
      </w:r>
      <w:r w:rsidR="0046289D">
        <w:rPr>
          <w:sz w:val="18"/>
          <w:szCs w:val="18"/>
          <w:lang w:val="en-US" w:eastAsia="en-GB"/>
        </w:rPr>
        <w:t>s</w:t>
      </w:r>
      <w:r w:rsidRPr="00DA2096">
        <w:rPr>
          <w:sz w:val="18"/>
          <w:szCs w:val="18"/>
          <w:lang w:val="en-US" w:eastAsia="en-GB"/>
        </w:rPr>
        <w:t xml:space="preserve">: </w:t>
      </w:r>
      <w:r w:rsidR="0027794F">
        <w:rPr>
          <w:sz w:val="18"/>
          <w:szCs w:val="18"/>
          <w:lang w:val="en-US" w:eastAsia="en-GB"/>
        </w:rPr>
        <w:t>employment</w:t>
      </w:r>
      <w:r w:rsidR="0046289D">
        <w:rPr>
          <w:sz w:val="18"/>
          <w:szCs w:val="18"/>
          <w:lang w:val="en-US" w:eastAsia="en-GB"/>
        </w:rPr>
        <w:t xml:space="preserve"> and </w:t>
      </w:r>
      <w:r w:rsidR="0027794F">
        <w:rPr>
          <w:sz w:val="18"/>
          <w:szCs w:val="18"/>
          <w:lang w:val="en-US" w:eastAsia="en-GB"/>
        </w:rPr>
        <w:t>unemployment</w:t>
      </w:r>
      <w:r w:rsidR="0046289D">
        <w:rPr>
          <w:sz w:val="18"/>
          <w:szCs w:val="18"/>
          <w:lang w:val="en-US" w:eastAsia="en-GB"/>
        </w:rPr>
        <w:t xml:space="preserve">: </w:t>
      </w:r>
      <w:r w:rsidRPr="00DA2096">
        <w:rPr>
          <w:sz w:val="18"/>
          <w:szCs w:val="18"/>
          <w:lang w:val="en-US" w:eastAsia="en-GB"/>
        </w:rPr>
        <w:t>ONS</w:t>
      </w:r>
      <w:r>
        <w:rPr>
          <w:sz w:val="18"/>
          <w:szCs w:val="18"/>
          <w:lang w:val="en-US" w:eastAsia="en-GB"/>
        </w:rPr>
        <w:t xml:space="preserve"> </w:t>
      </w:r>
      <w:r w:rsidR="0027794F">
        <w:rPr>
          <w:sz w:val="18"/>
          <w:szCs w:val="18"/>
          <w:lang w:val="en-US" w:eastAsia="en-GB"/>
        </w:rPr>
        <w:t xml:space="preserve">Labour Market Statistics table A05. </w:t>
      </w:r>
      <w:r>
        <w:rPr>
          <w:sz w:val="18"/>
          <w:szCs w:val="18"/>
          <w:lang w:val="en-US" w:eastAsia="en-GB"/>
        </w:rPr>
        <w:t>Figs for April-June. All in employment</w:t>
      </w:r>
      <w:r w:rsidR="007E5D5D">
        <w:rPr>
          <w:sz w:val="18"/>
          <w:szCs w:val="18"/>
          <w:lang w:val="en-US" w:eastAsia="en-GB"/>
        </w:rPr>
        <w:t>. Rate in brackets.</w:t>
      </w:r>
      <w:r w:rsidRPr="00DA2096">
        <w:rPr>
          <w:sz w:val="18"/>
          <w:szCs w:val="18"/>
          <w:lang w:val="en-US" w:eastAsia="en-GB"/>
        </w:rPr>
        <w:t xml:space="preserve"> </w:t>
      </w:r>
      <w:r w:rsidR="0046289D">
        <w:rPr>
          <w:sz w:val="18"/>
          <w:szCs w:val="18"/>
          <w:lang w:val="en-US" w:eastAsia="en-GB"/>
        </w:rPr>
        <w:t xml:space="preserve">Full-time education: ONS “educational </w:t>
      </w:r>
      <w:r w:rsidR="0027794F">
        <w:rPr>
          <w:sz w:val="18"/>
          <w:szCs w:val="18"/>
          <w:lang w:val="en-US" w:eastAsia="en-GB"/>
        </w:rPr>
        <w:t>status</w:t>
      </w:r>
      <w:r w:rsidR="0046289D">
        <w:rPr>
          <w:sz w:val="18"/>
          <w:szCs w:val="18"/>
          <w:lang w:val="en-US" w:eastAsia="en-GB"/>
        </w:rPr>
        <w:t xml:space="preserve">, economic activity and inactivity of young people. Figs for </w:t>
      </w:r>
      <w:r w:rsidR="0027794F">
        <w:rPr>
          <w:sz w:val="18"/>
          <w:szCs w:val="18"/>
          <w:lang w:val="en-US" w:eastAsia="en-GB"/>
        </w:rPr>
        <w:t>April</w:t>
      </w:r>
      <w:r w:rsidR="0046289D">
        <w:rPr>
          <w:sz w:val="18"/>
          <w:szCs w:val="18"/>
          <w:lang w:val="en-US" w:eastAsia="en-GB"/>
        </w:rPr>
        <w:t>-June</w:t>
      </w:r>
    </w:p>
    <w:p w:rsidR="001C6BC9" w:rsidRDefault="00E729F9" w:rsidP="001C6BC9">
      <w:pPr>
        <w:pStyle w:val="T5TextBody"/>
        <w:spacing w:line="276" w:lineRule="auto"/>
        <w:rPr>
          <w:szCs w:val="22"/>
          <w:lang w:val="en-US" w:eastAsia="en-GB"/>
        </w:rPr>
      </w:pPr>
      <w:r>
        <w:rPr>
          <w:szCs w:val="22"/>
          <w:lang w:val="en-US" w:eastAsia="en-GB"/>
        </w:rPr>
        <w:t xml:space="preserve">Moving on to </w:t>
      </w:r>
      <w:r w:rsidR="0027794F" w:rsidRPr="00A17B2D">
        <w:rPr>
          <w:szCs w:val="22"/>
          <w:lang w:val="en-US" w:eastAsia="en-GB"/>
        </w:rPr>
        <w:t>16-17 year olds</w:t>
      </w:r>
      <w:r>
        <w:rPr>
          <w:szCs w:val="22"/>
          <w:lang w:val="en-US" w:eastAsia="en-GB"/>
        </w:rPr>
        <w:t xml:space="preserve">, </w:t>
      </w:r>
      <w:r w:rsidR="0081076E" w:rsidRPr="00314A07">
        <w:rPr>
          <w:szCs w:val="22"/>
          <w:lang w:val="en-US" w:eastAsia="en-GB"/>
        </w:rPr>
        <w:t xml:space="preserve">the number of people in this age group who are unemployed has fallen by </w:t>
      </w:r>
      <w:r w:rsidR="0081076E">
        <w:rPr>
          <w:szCs w:val="22"/>
          <w:lang w:val="en-US" w:eastAsia="en-GB"/>
        </w:rPr>
        <w:t>35</w:t>
      </w:r>
      <w:r w:rsidR="0081076E" w:rsidRPr="00314A07">
        <w:rPr>
          <w:szCs w:val="22"/>
          <w:lang w:val="en-US" w:eastAsia="en-GB"/>
        </w:rPr>
        <w:t xml:space="preserve">,000, which constitutes a rate fall of </w:t>
      </w:r>
      <w:r w:rsidR="0081076E">
        <w:rPr>
          <w:szCs w:val="22"/>
          <w:lang w:val="en-US" w:eastAsia="en-GB"/>
        </w:rPr>
        <w:t>3</w:t>
      </w:r>
      <w:r w:rsidR="0081076E" w:rsidRPr="00314A07">
        <w:rPr>
          <w:szCs w:val="22"/>
          <w:lang w:val="en-US" w:eastAsia="en-GB"/>
        </w:rPr>
        <w:t>.</w:t>
      </w:r>
      <w:r w:rsidR="0081076E">
        <w:rPr>
          <w:szCs w:val="22"/>
          <w:lang w:val="en-US" w:eastAsia="en-GB"/>
        </w:rPr>
        <w:t>9</w:t>
      </w:r>
      <w:r w:rsidR="0081076E" w:rsidRPr="00314A07">
        <w:rPr>
          <w:szCs w:val="22"/>
          <w:lang w:val="en-US" w:eastAsia="en-GB"/>
        </w:rPr>
        <w:t xml:space="preserve"> per cent over the past year</w:t>
      </w:r>
      <w:r w:rsidR="0081076E" w:rsidRPr="00F02E9C">
        <w:rPr>
          <w:szCs w:val="22"/>
          <w:lang w:val="en-US" w:eastAsia="en-GB"/>
        </w:rPr>
        <w:t xml:space="preserve"> </w:t>
      </w:r>
    </w:p>
    <w:p w:rsidR="001C6BC9" w:rsidRPr="00314A07" w:rsidRDefault="001C6BC9" w:rsidP="001C6BC9">
      <w:pPr>
        <w:pStyle w:val="T5TextBody"/>
        <w:spacing w:line="276" w:lineRule="auto"/>
        <w:rPr>
          <w:szCs w:val="22"/>
          <w:lang w:val="en-US" w:eastAsia="en-GB"/>
        </w:rPr>
      </w:pPr>
      <w:r>
        <w:rPr>
          <w:szCs w:val="22"/>
          <w:lang w:val="en-US" w:eastAsia="en-GB"/>
        </w:rPr>
        <w:t>Y</w:t>
      </w:r>
      <w:r w:rsidRPr="00314A07">
        <w:rPr>
          <w:szCs w:val="22"/>
          <w:lang w:val="en-US" w:eastAsia="en-GB"/>
        </w:rPr>
        <w:t xml:space="preserve">oung people in this age group are </w:t>
      </w:r>
      <w:r>
        <w:rPr>
          <w:szCs w:val="22"/>
          <w:lang w:val="en-US" w:eastAsia="en-GB"/>
        </w:rPr>
        <w:t>far more likely to be in</w:t>
      </w:r>
      <w:r w:rsidRPr="00314A07">
        <w:rPr>
          <w:szCs w:val="22"/>
          <w:lang w:val="en-US" w:eastAsia="en-GB"/>
        </w:rPr>
        <w:t xml:space="preserve"> full-time education than </w:t>
      </w:r>
      <w:r>
        <w:rPr>
          <w:szCs w:val="22"/>
          <w:lang w:val="en-US" w:eastAsia="en-GB"/>
        </w:rPr>
        <w:t>in the labour market, but many of those who are economically active are also in full-time education</w:t>
      </w:r>
      <w:r w:rsidRPr="00314A07">
        <w:rPr>
          <w:szCs w:val="22"/>
          <w:lang w:val="en-US" w:eastAsia="en-GB"/>
        </w:rPr>
        <w:t xml:space="preserve">. As the table </w:t>
      </w:r>
      <w:r>
        <w:rPr>
          <w:szCs w:val="22"/>
          <w:lang w:val="en-US" w:eastAsia="en-GB"/>
        </w:rPr>
        <w:t>above</w:t>
      </w:r>
      <w:r w:rsidRPr="00314A07">
        <w:rPr>
          <w:szCs w:val="22"/>
          <w:lang w:val="en-US" w:eastAsia="en-GB"/>
        </w:rPr>
        <w:t xml:space="preserve"> shows, this number </w:t>
      </w:r>
      <w:r>
        <w:rPr>
          <w:szCs w:val="22"/>
          <w:lang w:val="en-US" w:eastAsia="en-GB"/>
        </w:rPr>
        <w:t xml:space="preserve">of 16-17 year olds in education </w:t>
      </w:r>
      <w:r w:rsidRPr="00314A07">
        <w:rPr>
          <w:szCs w:val="22"/>
          <w:lang w:val="en-US" w:eastAsia="en-GB"/>
        </w:rPr>
        <w:t>continued to increase during the recession a</w:t>
      </w:r>
      <w:r>
        <w:rPr>
          <w:szCs w:val="22"/>
          <w:lang w:val="en-US" w:eastAsia="en-GB"/>
        </w:rPr>
        <w:t>n</w:t>
      </w:r>
      <w:r w:rsidRPr="00314A07">
        <w:rPr>
          <w:szCs w:val="22"/>
          <w:lang w:val="en-US" w:eastAsia="en-GB"/>
        </w:rPr>
        <w:t xml:space="preserve">d </w:t>
      </w:r>
      <w:r>
        <w:rPr>
          <w:szCs w:val="22"/>
          <w:lang w:val="en-US" w:eastAsia="en-GB"/>
        </w:rPr>
        <w:t>has gone</w:t>
      </w:r>
      <w:r w:rsidRPr="00314A07">
        <w:rPr>
          <w:szCs w:val="22"/>
          <w:lang w:val="en-US" w:eastAsia="en-GB"/>
        </w:rPr>
        <w:t xml:space="preserve"> up marginally </w:t>
      </w:r>
      <w:r>
        <w:rPr>
          <w:szCs w:val="22"/>
          <w:lang w:val="en-US" w:eastAsia="en-GB"/>
        </w:rPr>
        <w:t>since the onset of the recovery</w:t>
      </w:r>
      <w:r w:rsidRPr="00314A07">
        <w:rPr>
          <w:szCs w:val="22"/>
          <w:lang w:val="en-US" w:eastAsia="en-GB"/>
        </w:rPr>
        <w:t>.</w:t>
      </w:r>
    </w:p>
    <w:p w:rsidR="001C6BC9" w:rsidRPr="00261D85" w:rsidRDefault="001C6BC9" w:rsidP="001C6BC9">
      <w:pPr>
        <w:pStyle w:val="T5TextBody"/>
        <w:spacing w:line="276" w:lineRule="auto"/>
        <w:rPr>
          <w:szCs w:val="22"/>
          <w:lang w:val="en-US" w:eastAsia="en-GB"/>
        </w:rPr>
      </w:pPr>
      <w:r w:rsidRPr="00261D85">
        <w:rPr>
          <w:szCs w:val="22"/>
          <w:lang w:val="en-US" w:eastAsia="en-GB"/>
        </w:rPr>
        <w:t>There has also been a significant decline in the number of 16-17 year olds NEETs</w:t>
      </w:r>
      <w:r w:rsidRPr="00261D85">
        <w:rPr>
          <w:rStyle w:val="FootnoteReference"/>
          <w:sz w:val="22"/>
          <w:szCs w:val="22"/>
          <w:lang w:val="en-US" w:eastAsia="en-GB"/>
        </w:rPr>
        <w:footnoteReference w:id="29"/>
      </w:r>
      <w:r w:rsidRPr="00261D85">
        <w:rPr>
          <w:szCs w:val="22"/>
          <w:lang w:val="en-US" w:eastAsia="en-GB"/>
        </w:rPr>
        <w:t xml:space="preserve"> , which has fallen by 13.1 per cent during the past year, down by 22,000 to reach 146,000 NEETs.  </w:t>
      </w:r>
    </w:p>
    <w:p w:rsidR="001C6BC9" w:rsidRPr="00261D85" w:rsidRDefault="001C6BC9" w:rsidP="001C6BC9">
      <w:pPr>
        <w:pStyle w:val="T5TextBody"/>
        <w:spacing w:line="276" w:lineRule="auto"/>
        <w:rPr>
          <w:szCs w:val="22"/>
          <w:lang w:val="en-US" w:eastAsia="en-GB"/>
        </w:rPr>
      </w:pPr>
      <w:r w:rsidRPr="00261D85">
        <w:rPr>
          <w:szCs w:val="22"/>
          <w:lang w:val="en-US" w:eastAsia="en-GB"/>
        </w:rPr>
        <w:t>There are thus solid indications that the position of 16-17 year olds in the labour market is improving.</w:t>
      </w:r>
    </w:p>
    <w:p w:rsidR="0081076E" w:rsidRDefault="0081076E" w:rsidP="00A17B2D">
      <w:pPr>
        <w:pStyle w:val="T5TextBody"/>
        <w:spacing w:line="276" w:lineRule="auto"/>
        <w:rPr>
          <w:szCs w:val="22"/>
          <w:lang w:val="en-US" w:eastAsia="en-GB"/>
        </w:rPr>
      </w:pPr>
    </w:p>
    <w:p w:rsidR="00F02E9C" w:rsidRPr="00314A07" w:rsidRDefault="00F02E9C" w:rsidP="00F02E9C">
      <w:pPr>
        <w:pStyle w:val="T5TextBody"/>
        <w:spacing w:line="276" w:lineRule="auto"/>
        <w:rPr>
          <w:szCs w:val="22"/>
          <w:lang w:val="en-US" w:eastAsia="en-GB"/>
        </w:rPr>
      </w:pPr>
    </w:p>
    <w:p w:rsidR="001C6BC9" w:rsidRDefault="001C6BC9" w:rsidP="00314A07">
      <w:pPr>
        <w:pStyle w:val="T5TextBody"/>
        <w:spacing w:line="276" w:lineRule="auto"/>
        <w:rPr>
          <w:rFonts w:ascii="Frutiger 55" w:hAnsi="Frutiger 55"/>
          <w:b/>
          <w:i/>
          <w:szCs w:val="22"/>
          <w:lang w:val="en-US" w:eastAsia="en-GB"/>
        </w:rPr>
      </w:pPr>
    </w:p>
    <w:p w:rsidR="00314A07" w:rsidRDefault="00314A07" w:rsidP="00314A07">
      <w:pPr>
        <w:pStyle w:val="T5TextBody"/>
        <w:spacing w:line="276" w:lineRule="auto"/>
        <w:rPr>
          <w:rFonts w:ascii="Frutiger 55" w:hAnsi="Frutiger 55"/>
          <w:b/>
          <w:i/>
          <w:szCs w:val="22"/>
          <w:lang w:val="en-US" w:eastAsia="en-GB"/>
        </w:rPr>
      </w:pPr>
      <w:r>
        <w:rPr>
          <w:rFonts w:ascii="Frutiger 55" w:hAnsi="Frutiger 55"/>
          <w:b/>
          <w:i/>
          <w:szCs w:val="22"/>
          <w:lang w:val="en-US" w:eastAsia="en-GB"/>
        </w:rPr>
        <w:t>16-17 year olds (thousands)</w:t>
      </w:r>
    </w:p>
    <w:tbl>
      <w:tblPr>
        <w:tblStyle w:val="TableGrid"/>
        <w:tblW w:w="7338" w:type="dxa"/>
        <w:tblLayout w:type="fixed"/>
        <w:tblLook w:val="04A0"/>
      </w:tblPr>
      <w:tblGrid>
        <w:gridCol w:w="838"/>
        <w:gridCol w:w="1647"/>
        <w:gridCol w:w="2443"/>
        <w:gridCol w:w="2410"/>
      </w:tblGrid>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p>
        </w:tc>
        <w:tc>
          <w:tcPr>
            <w:tcW w:w="1647" w:type="dxa"/>
          </w:tcPr>
          <w:p w:rsidR="00314A07" w:rsidRPr="00E729F9" w:rsidRDefault="0027794F" w:rsidP="00565443">
            <w:pPr>
              <w:pStyle w:val="T5TextBody"/>
              <w:spacing w:line="276" w:lineRule="auto"/>
              <w:jc w:val="center"/>
              <w:rPr>
                <w:b/>
                <w:i/>
                <w:szCs w:val="22"/>
                <w:lang w:val="en-US" w:eastAsia="en-GB"/>
              </w:rPr>
            </w:pPr>
            <w:r w:rsidRPr="00E729F9">
              <w:rPr>
                <w:b/>
                <w:i/>
                <w:szCs w:val="22"/>
                <w:lang w:val="en-US" w:eastAsia="en-GB"/>
              </w:rPr>
              <w:t>Employment</w:t>
            </w:r>
          </w:p>
        </w:tc>
        <w:tc>
          <w:tcPr>
            <w:tcW w:w="2443" w:type="dxa"/>
          </w:tcPr>
          <w:p w:rsidR="00314A07" w:rsidRPr="00E729F9" w:rsidRDefault="00565443" w:rsidP="00565443">
            <w:pPr>
              <w:pStyle w:val="T5TextBody"/>
              <w:spacing w:line="276" w:lineRule="auto"/>
              <w:jc w:val="center"/>
              <w:rPr>
                <w:b/>
                <w:i/>
                <w:szCs w:val="22"/>
                <w:lang w:val="en-US" w:eastAsia="en-GB"/>
              </w:rPr>
            </w:pPr>
            <w:r>
              <w:rPr>
                <w:b/>
                <w:i/>
                <w:szCs w:val="22"/>
                <w:lang w:val="en-US" w:eastAsia="en-GB"/>
              </w:rPr>
              <w:t>U</w:t>
            </w:r>
            <w:r w:rsidR="0027794F" w:rsidRPr="00E729F9">
              <w:rPr>
                <w:b/>
                <w:i/>
                <w:szCs w:val="22"/>
                <w:lang w:val="en-US" w:eastAsia="en-GB"/>
              </w:rPr>
              <w:t>nemployment</w:t>
            </w:r>
          </w:p>
        </w:tc>
        <w:tc>
          <w:tcPr>
            <w:tcW w:w="2410" w:type="dxa"/>
          </w:tcPr>
          <w:p w:rsidR="00314A07" w:rsidRPr="00E729F9" w:rsidRDefault="00314A07" w:rsidP="00565443">
            <w:pPr>
              <w:pStyle w:val="T5TextBody"/>
              <w:spacing w:line="276" w:lineRule="auto"/>
              <w:jc w:val="center"/>
              <w:rPr>
                <w:b/>
                <w:i/>
                <w:szCs w:val="22"/>
                <w:lang w:val="en-US" w:eastAsia="en-GB"/>
              </w:rPr>
            </w:pPr>
            <w:r w:rsidRPr="00E729F9">
              <w:rPr>
                <w:b/>
                <w:i/>
                <w:szCs w:val="22"/>
                <w:lang w:val="en-US" w:eastAsia="en-GB"/>
              </w:rPr>
              <w:t>In full-time education</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1992</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665 (48.4%)</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154 (18.8%)</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857</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1996</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665 (46.4%)</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168 (20.2%)</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976</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2000</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673 (46.7%)</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177 (20.9%)</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1,051</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2004</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632 (40.5%)</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173 (21.5%)</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1,144</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2008</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543 (34.2%)</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183 (25.2%)</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1,194</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2012</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352 (24.0%)</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203 (36.5%)</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1,210</w:t>
            </w:r>
          </w:p>
        </w:tc>
      </w:tr>
      <w:tr w:rsidR="00314A07" w:rsidTr="00314A07">
        <w:tc>
          <w:tcPr>
            <w:tcW w:w="838" w:type="dxa"/>
          </w:tcPr>
          <w:p w:rsidR="00314A07" w:rsidRDefault="00314A07" w:rsidP="00314A07">
            <w:pPr>
              <w:pStyle w:val="T5TextBody"/>
              <w:spacing w:line="276" w:lineRule="auto"/>
              <w:rPr>
                <w:rFonts w:ascii="Frutiger 55" w:hAnsi="Frutiger 55"/>
                <w:b/>
                <w:i/>
                <w:szCs w:val="22"/>
                <w:lang w:val="en-US" w:eastAsia="en-GB"/>
              </w:rPr>
            </w:pPr>
            <w:r w:rsidRPr="00C23B98">
              <w:rPr>
                <w:b/>
                <w:szCs w:val="22"/>
                <w:lang w:val="en-US" w:eastAsia="en-GB"/>
              </w:rPr>
              <w:t>2013</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317 (21.7%)</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196 (38.1%)</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1,227</w:t>
            </w:r>
          </w:p>
        </w:tc>
      </w:tr>
      <w:tr w:rsidR="00314A07" w:rsidTr="00314A07">
        <w:tc>
          <w:tcPr>
            <w:tcW w:w="838" w:type="dxa"/>
          </w:tcPr>
          <w:p w:rsidR="00314A07" w:rsidRPr="00C23B98" w:rsidRDefault="00314A07" w:rsidP="00314A07">
            <w:pPr>
              <w:pStyle w:val="T5TextBody"/>
              <w:spacing w:line="276" w:lineRule="auto"/>
              <w:rPr>
                <w:b/>
                <w:szCs w:val="22"/>
                <w:lang w:val="en-US" w:eastAsia="en-GB"/>
              </w:rPr>
            </w:pPr>
            <w:r w:rsidRPr="00C23B98">
              <w:rPr>
                <w:b/>
                <w:szCs w:val="22"/>
                <w:lang w:val="en-US" w:eastAsia="en-GB"/>
              </w:rPr>
              <w:t>2014</w:t>
            </w:r>
          </w:p>
        </w:tc>
        <w:tc>
          <w:tcPr>
            <w:tcW w:w="1647"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311 (21.4%)</w:t>
            </w:r>
          </w:p>
        </w:tc>
        <w:tc>
          <w:tcPr>
            <w:tcW w:w="2443" w:type="dxa"/>
          </w:tcPr>
          <w:p w:rsidR="00314A07" w:rsidRPr="00A1347C" w:rsidRDefault="00A17B2D" w:rsidP="00565443">
            <w:pPr>
              <w:pStyle w:val="T5TextBody"/>
              <w:spacing w:line="276" w:lineRule="auto"/>
              <w:jc w:val="center"/>
              <w:rPr>
                <w:szCs w:val="22"/>
                <w:lang w:val="en-US" w:eastAsia="en-GB"/>
              </w:rPr>
            </w:pPr>
            <w:r w:rsidRPr="00A1347C">
              <w:rPr>
                <w:szCs w:val="22"/>
                <w:lang w:val="en-US" w:eastAsia="en-GB"/>
              </w:rPr>
              <w:t>161 (34.2%)</w:t>
            </w:r>
          </w:p>
        </w:tc>
        <w:tc>
          <w:tcPr>
            <w:tcW w:w="2410" w:type="dxa"/>
          </w:tcPr>
          <w:p w:rsidR="00314A07" w:rsidRPr="00A1347C" w:rsidRDefault="00314A07" w:rsidP="00565443">
            <w:pPr>
              <w:pStyle w:val="T5TextBody"/>
              <w:spacing w:line="276" w:lineRule="auto"/>
              <w:jc w:val="center"/>
              <w:rPr>
                <w:szCs w:val="22"/>
                <w:lang w:val="en-US" w:eastAsia="en-GB"/>
              </w:rPr>
            </w:pPr>
            <w:r w:rsidRPr="00A1347C">
              <w:rPr>
                <w:szCs w:val="22"/>
                <w:lang w:val="en-US" w:eastAsia="en-GB"/>
              </w:rPr>
              <w:t>1,232</w:t>
            </w:r>
          </w:p>
        </w:tc>
      </w:tr>
    </w:tbl>
    <w:p w:rsidR="006F4724" w:rsidRPr="00565443" w:rsidRDefault="00314A07" w:rsidP="0027378E">
      <w:pPr>
        <w:pStyle w:val="T5TextBody"/>
        <w:spacing w:line="276" w:lineRule="auto"/>
        <w:rPr>
          <w:sz w:val="18"/>
          <w:szCs w:val="18"/>
          <w:lang w:val="en-US" w:eastAsia="en-GB"/>
        </w:rPr>
      </w:pPr>
      <w:r w:rsidRPr="00DA2096">
        <w:rPr>
          <w:sz w:val="18"/>
          <w:szCs w:val="18"/>
          <w:lang w:val="en-US" w:eastAsia="en-GB"/>
        </w:rPr>
        <w:t>Source</w:t>
      </w:r>
      <w:r>
        <w:rPr>
          <w:sz w:val="18"/>
          <w:szCs w:val="18"/>
          <w:lang w:val="en-US" w:eastAsia="en-GB"/>
        </w:rPr>
        <w:t>s</w:t>
      </w:r>
      <w:r w:rsidRPr="00DA2096">
        <w:rPr>
          <w:sz w:val="18"/>
          <w:szCs w:val="18"/>
          <w:lang w:val="en-US" w:eastAsia="en-GB"/>
        </w:rPr>
        <w:t xml:space="preserve">: </w:t>
      </w:r>
      <w:r w:rsidR="0027794F">
        <w:rPr>
          <w:sz w:val="18"/>
          <w:szCs w:val="18"/>
          <w:lang w:val="en-US" w:eastAsia="en-GB"/>
        </w:rPr>
        <w:t>employment</w:t>
      </w:r>
      <w:r>
        <w:rPr>
          <w:sz w:val="18"/>
          <w:szCs w:val="18"/>
          <w:lang w:val="en-US" w:eastAsia="en-GB"/>
        </w:rPr>
        <w:t xml:space="preserve"> and </w:t>
      </w:r>
      <w:r w:rsidR="0027794F">
        <w:rPr>
          <w:sz w:val="18"/>
          <w:szCs w:val="18"/>
          <w:lang w:val="en-US" w:eastAsia="en-GB"/>
        </w:rPr>
        <w:t>unemployment</w:t>
      </w:r>
      <w:r>
        <w:rPr>
          <w:sz w:val="18"/>
          <w:szCs w:val="18"/>
          <w:lang w:val="en-US" w:eastAsia="en-GB"/>
        </w:rPr>
        <w:t xml:space="preserve">: </w:t>
      </w:r>
      <w:r w:rsidRPr="00DA2096">
        <w:rPr>
          <w:sz w:val="18"/>
          <w:szCs w:val="18"/>
          <w:lang w:val="en-US" w:eastAsia="en-GB"/>
        </w:rPr>
        <w:t>ONS</w:t>
      </w:r>
      <w:r>
        <w:rPr>
          <w:sz w:val="18"/>
          <w:szCs w:val="18"/>
          <w:lang w:val="en-US" w:eastAsia="en-GB"/>
        </w:rPr>
        <w:t xml:space="preserve"> </w:t>
      </w:r>
      <w:r w:rsidR="0027794F">
        <w:rPr>
          <w:sz w:val="18"/>
          <w:szCs w:val="18"/>
          <w:lang w:val="en-US" w:eastAsia="en-GB"/>
        </w:rPr>
        <w:t>Labour</w:t>
      </w:r>
      <w:r>
        <w:rPr>
          <w:sz w:val="18"/>
          <w:szCs w:val="18"/>
          <w:lang w:val="en-US" w:eastAsia="en-GB"/>
        </w:rPr>
        <w:t xml:space="preserve"> </w:t>
      </w:r>
      <w:r w:rsidR="0027794F">
        <w:rPr>
          <w:sz w:val="18"/>
          <w:szCs w:val="18"/>
          <w:lang w:val="en-US" w:eastAsia="en-GB"/>
        </w:rPr>
        <w:t>market</w:t>
      </w:r>
      <w:r>
        <w:rPr>
          <w:sz w:val="18"/>
          <w:szCs w:val="18"/>
          <w:lang w:val="en-US" w:eastAsia="en-GB"/>
        </w:rPr>
        <w:t xml:space="preserve"> statistics table A05. Figs for April-June. All in employment. Rate in brackets.</w:t>
      </w:r>
      <w:r w:rsidRPr="00DA2096">
        <w:rPr>
          <w:sz w:val="18"/>
          <w:szCs w:val="18"/>
          <w:lang w:val="en-US" w:eastAsia="en-GB"/>
        </w:rPr>
        <w:t xml:space="preserve"> </w:t>
      </w:r>
      <w:r>
        <w:rPr>
          <w:sz w:val="18"/>
          <w:szCs w:val="18"/>
          <w:lang w:val="en-US" w:eastAsia="en-GB"/>
        </w:rPr>
        <w:t xml:space="preserve">Full-time education: ONS “educational </w:t>
      </w:r>
      <w:r w:rsidR="0027794F">
        <w:rPr>
          <w:sz w:val="18"/>
          <w:szCs w:val="18"/>
          <w:lang w:val="en-US" w:eastAsia="en-GB"/>
        </w:rPr>
        <w:t>status</w:t>
      </w:r>
      <w:r>
        <w:rPr>
          <w:sz w:val="18"/>
          <w:szCs w:val="18"/>
          <w:lang w:val="en-US" w:eastAsia="en-GB"/>
        </w:rPr>
        <w:t xml:space="preserve">, economic activity and inactivity of young people. Figs for </w:t>
      </w:r>
      <w:r w:rsidR="0027794F">
        <w:rPr>
          <w:sz w:val="18"/>
          <w:szCs w:val="18"/>
          <w:lang w:val="en-US" w:eastAsia="en-GB"/>
        </w:rPr>
        <w:t>April</w:t>
      </w:r>
      <w:r>
        <w:rPr>
          <w:sz w:val="18"/>
          <w:szCs w:val="18"/>
          <w:lang w:val="en-US" w:eastAsia="en-GB"/>
        </w:rPr>
        <w:t>-June</w:t>
      </w:r>
    </w:p>
    <w:p w:rsidR="001C6BC9" w:rsidRDefault="001C6BC9" w:rsidP="0093010E">
      <w:pPr>
        <w:pStyle w:val="T5TextBody"/>
        <w:rPr>
          <w:rFonts w:ascii="Frutiger 55" w:hAnsi="Frutiger 55"/>
          <w:b/>
        </w:rPr>
      </w:pPr>
    </w:p>
    <w:p w:rsidR="0027378E" w:rsidRDefault="0027378E" w:rsidP="0093010E">
      <w:pPr>
        <w:pStyle w:val="T5TextBody"/>
        <w:rPr>
          <w:rFonts w:ascii="Frutiger 55" w:hAnsi="Frutiger 55"/>
          <w:b/>
        </w:rPr>
      </w:pPr>
      <w:r w:rsidRPr="0027378E">
        <w:rPr>
          <w:rFonts w:ascii="Frutiger 55" w:hAnsi="Frutiger 55"/>
          <w:b/>
        </w:rPr>
        <w:t xml:space="preserve">6: </w:t>
      </w:r>
      <w:r w:rsidR="00F447ED">
        <w:rPr>
          <w:rFonts w:ascii="Frutiger 55" w:hAnsi="Frutiger 55"/>
          <w:b/>
        </w:rPr>
        <w:t>A</w:t>
      </w:r>
      <w:r w:rsidRPr="0027378E">
        <w:rPr>
          <w:rFonts w:ascii="Frutiger 55" w:hAnsi="Frutiger 55"/>
          <w:b/>
        </w:rPr>
        <w:t>pprentices</w:t>
      </w:r>
    </w:p>
    <w:p w:rsidR="001C4AF9" w:rsidRPr="001C4AF9" w:rsidRDefault="00F447ED" w:rsidP="0093010E">
      <w:pPr>
        <w:pStyle w:val="T5TextBody"/>
        <w:rPr>
          <w:b/>
        </w:rPr>
      </w:pPr>
      <w:r>
        <w:rPr>
          <w:b/>
        </w:rPr>
        <w:t>Apprentice pay</w:t>
      </w:r>
    </w:p>
    <w:p w:rsidR="00CC5D18" w:rsidRPr="00E729F9" w:rsidRDefault="00CC5D18" w:rsidP="00E729F9">
      <w:pPr>
        <w:widowControl/>
        <w:autoSpaceDE w:val="0"/>
        <w:autoSpaceDN w:val="0"/>
        <w:adjustRightInd w:val="0"/>
        <w:spacing w:line="276" w:lineRule="auto"/>
        <w:rPr>
          <w:rFonts w:ascii="Sabon" w:hAnsi="Sabon" w:cs="Arial"/>
          <w:snapToGrid/>
          <w:color w:val="000000"/>
          <w:sz w:val="22"/>
          <w:szCs w:val="22"/>
          <w:lang w:eastAsia="en-GB"/>
        </w:rPr>
      </w:pPr>
      <w:r w:rsidRPr="00E729F9">
        <w:rPr>
          <w:rFonts w:ascii="Sabon" w:hAnsi="Sabon" w:cs="Arial"/>
          <w:snapToGrid/>
          <w:color w:val="000000"/>
          <w:sz w:val="22"/>
          <w:szCs w:val="22"/>
          <w:lang w:eastAsia="en-GB"/>
        </w:rPr>
        <w:t xml:space="preserve">As set out in section </w:t>
      </w:r>
      <w:r w:rsidR="00565443">
        <w:rPr>
          <w:rFonts w:ascii="Sabon" w:hAnsi="Sabon" w:cs="Arial"/>
          <w:snapToGrid/>
          <w:color w:val="000000"/>
          <w:sz w:val="22"/>
          <w:szCs w:val="22"/>
          <w:lang w:eastAsia="en-GB"/>
        </w:rPr>
        <w:t>two</w:t>
      </w:r>
      <w:r w:rsidR="00565443" w:rsidRPr="00E729F9">
        <w:rPr>
          <w:rFonts w:ascii="Sabon" w:hAnsi="Sabon" w:cs="Arial"/>
          <w:snapToGrid/>
          <w:color w:val="000000"/>
          <w:sz w:val="22"/>
          <w:szCs w:val="22"/>
          <w:lang w:eastAsia="en-GB"/>
        </w:rPr>
        <w:t xml:space="preserve"> </w:t>
      </w:r>
      <w:r w:rsidRPr="00E729F9">
        <w:rPr>
          <w:rFonts w:ascii="Sabon" w:hAnsi="Sabon" w:cs="Arial"/>
          <w:snapToGrid/>
          <w:color w:val="000000"/>
          <w:sz w:val="22"/>
          <w:szCs w:val="22"/>
          <w:lang w:eastAsia="en-GB"/>
        </w:rPr>
        <w:t xml:space="preserve">of this </w:t>
      </w:r>
      <w:r w:rsidR="00F447ED" w:rsidRPr="00E729F9">
        <w:rPr>
          <w:rFonts w:ascii="Sabon" w:hAnsi="Sabon" w:cs="Arial"/>
          <w:snapToGrid/>
          <w:color w:val="000000"/>
          <w:sz w:val="22"/>
          <w:szCs w:val="22"/>
          <w:lang w:eastAsia="en-GB"/>
        </w:rPr>
        <w:t>submission</w:t>
      </w:r>
      <w:r w:rsidRPr="00E729F9">
        <w:rPr>
          <w:rFonts w:ascii="Sabon" w:hAnsi="Sabon" w:cs="Arial"/>
          <w:snapToGrid/>
          <w:color w:val="000000"/>
          <w:sz w:val="22"/>
          <w:szCs w:val="22"/>
          <w:lang w:eastAsia="en-GB"/>
        </w:rPr>
        <w:t>, the</w:t>
      </w:r>
      <w:r w:rsidR="00F447ED" w:rsidRPr="00E729F9">
        <w:rPr>
          <w:rFonts w:ascii="Sabon" w:hAnsi="Sabon" w:cs="Arial"/>
          <w:snapToGrid/>
          <w:color w:val="000000"/>
          <w:sz w:val="22"/>
          <w:szCs w:val="22"/>
          <w:lang w:eastAsia="en-GB"/>
        </w:rPr>
        <w:t xml:space="preserve"> terms of its remit ask the </w:t>
      </w:r>
      <w:r w:rsidRPr="00E729F9">
        <w:rPr>
          <w:rFonts w:ascii="Sabon" w:hAnsi="Sabon" w:cs="Arial"/>
          <w:snapToGrid/>
          <w:color w:val="000000"/>
          <w:sz w:val="22"/>
          <w:szCs w:val="22"/>
          <w:lang w:eastAsia="en-GB"/>
        </w:rPr>
        <w:t xml:space="preserve">LPC </w:t>
      </w:r>
      <w:r w:rsidR="00F447ED" w:rsidRPr="00E729F9">
        <w:rPr>
          <w:rFonts w:ascii="Sabon" w:hAnsi="Sabon" w:cs="Arial"/>
          <w:snapToGrid/>
          <w:color w:val="000000"/>
          <w:sz w:val="22"/>
          <w:szCs w:val="22"/>
          <w:lang w:eastAsia="en-GB"/>
        </w:rPr>
        <w:t xml:space="preserve">to </w:t>
      </w:r>
      <w:r w:rsidRPr="00E729F9">
        <w:rPr>
          <w:rFonts w:ascii="Sabon" w:hAnsi="Sabon" w:cs="Arial"/>
          <w:snapToGrid/>
          <w:color w:val="000000"/>
          <w:sz w:val="22"/>
          <w:szCs w:val="22"/>
          <w:lang w:eastAsia="en-GB"/>
        </w:rPr>
        <w:t xml:space="preserve">consider whether the </w:t>
      </w:r>
      <w:r w:rsidR="00813E75" w:rsidRPr="00E729F9">
        <w:rPr>
          <w:rFonts w:ascii="Sabon" w:hAnsi="Sabon" w:cs="Arial"/>
          <w:snapToGrid/>
          <w:color w:val="000000"/>
          <w:sz w:val="22"/>
          <w:szCs w:val="22"/>
          <w:lang w:eastAsia="en-GB"/>
        </w:rPr>
        <w:t>minimum</w:t>
      </w:r>
      <w:r w:rsidRPr="00E729F9">
        <w:rPr>
          <w:rFonts w:ascii="Sabon" w:hAnsi="Sabon" w:cs="Arial"/>
          <w:snapToGrid/>
          <w:color w:val="000000"/>
          <w:sz w:val="22"/>
          <w:szCs w:val="22"/>
          <w:lang w:eastAsia="en-GB"/>
        </w:rPr>
        <w:t xml:space="preserve"> wage structure might be made </w:t>
      </w:r>
      <w:r w:rsidR="00813E75" w:rsidRPr="00E729F9">
        <w:rPr>
          <w:rFonts w:ascii="Sabon" w:hAnsi="Sabon" w:cs="Arial"/>
          <w:snapToGrid/>
          <w:color w:val="000000"/>
          <w:sz w:val="22"/>
          <w:szCs w:val="22"/>
          <w:lang w:eastAsia="en-GB"/>
        </w:rPr>
        <w:t>simpler</w:t>
      </w:r>
      <w:r w:rsidRPr="00E729F9">
        <w:rPr>
          <w:rFonts w:ascii="Sabon" w:hAnsi="Sabon" w:cs="Arial"/>
          <w:snapToGrid/>
          <w:color w:val="000000"/>
          <w:sz w:val="22"/>
          <w:szCs w:val="22"/>
          <w:lang w:eastAsia="en-GB"/>
        </w:rPr>
        <w:t xml:space="preserve"> in </w:t>
      </w:r>
      <w:r w:rsidR="00813E75" w:rsidRPr="00E729F9">
        <w:rPr>
          <w:rFonts w:ascii="Sabon" w:hAnsi="Sabon" w:cs="Arial"/>
          <w:snapToGrid/>
          <w:color w:val="000000"/>
          <w:sz w:val="22"/>
          <w:szCs w:val="22"/>
          <w:lang w:eastAsia="en-GB"/>
        </w:rPr>
        <w:t>order</w:t>
      </w:r>
      <w:r w:rsidRPr="00E729F9">
        <w:rPr>
          <w:rFonts w:ascii="Sabon" w:hAnsi="Sabon" w:cs="Arial"/>
          <w:snapToGrid/>
          <w:color w:val="000000"/>
          <w:sz w:val="22"/>
          <w:szCs w:val="22"/>
          <w:lang w:eastAsia="en-GB"/>
        </w:rPr>
        <w:t xml:space="preserve"> to improve </w:t>
      </w:r>
      <w:r w:rsidR="00813E75" w:rsidRPr="00E729F9">
        <w:rPr>
          <w:rFonts w:ascii="Sabon" w:hAnsi="Sabon" w:cs="Arial"/>
          <w:snapToGrid/>
          <w:color w:val="000000"/>
          <w:sz w:val="22"/>
          <w:szCs w:val="22"/>
          <w:lang w:eastAsia="en-GB"/>
        </w:rPr>
        <w:t>compliance</w:t>
      </w:r>
      <w:r w:rsidR="00F447ED" w:rsidRPr="00E729F9">
        <w:rPr>
          <w:rFonts w:ascii="Sabon" w:hAnsi="Sabon" w:cs="Arial"/>
          <w:snapToGrid/>
          <w:color w:val="000000"/>
          <w:sz w:val="22"/>
          <w:szCs w:val="22"/>
          <w:lang w:eastAsia="en-GB"/>
        </w:rPr>
        <w:t>. The LPC has also been asked</w:t>
      </w:r>
      <w:r w:rsidRPr="00E729F9">
        <w:rPr>
          <w:rFonts w:ascii="Sabon" w:hAnsi="Sabon" w:cs="Arial"/>
          <w:snapToGrid/>
          <w:color w:val="000000"/>
          <w:sz w:val="22"/>
          <w:szCs w:val="22"/>
          <w:lang w:eastAsia="en-GB"/>
        </w:rPr>
        <w:t xml:space="preserve"> to examine how the </w:t>
      </w:r>
      <w:r w:rsidR="00813E75" w:rsidRPr="00E729F9">
        <w:rPr>
          <w:rFonts w:ascii="Sabon" w:hAnsi="Sabon" w:cs="Arial"/>
          <w:snapToGrid/>
          <w:color w:val="000000"/>
          <w:sz w:val="22"/>
          <w:szCs w:val="22"/>
          <w:lang w:eastAsia="en-GB"/>
        </w:rPr>
        <w:t>minimum</w:t>
      </w:r>
      <w:r w:rsidRPr="00E729F9">
        <w:rPr>
          <w:rFonts w:ascii="Sabon" w:hAnsi="Sabon" w:cs="Arial"/>
          <w:snapToGrid/>
          <w:color w:val="000000"/>
          <w:sz w:val="22"/>
          <w:szCs w:val="22"/>
          <w:lang w:eastAsia="en-GB"/>
        </w:rPr>
        <w:t xml:space="preserve"> wage is applied to all </w:t>
      </w:r>
      <w:r w:rsidR="00813E75" w:rsidRPr="00E729F9">
        <w:rPr>
          <w:rFonts w:ascii="Sabon" w:hAnsi="Sabon" w:cs="Arial"/>
          <w:snapToGrid/>
          <w:color w:val="000000"/>
          <w:sz w:val="22"/>
          <w:szCs w:val="22"/>
          <w:lang w:eastAsia="en-GB"/>
        </w:rPr>
        <w:t>levels</w:t>
      </w:r>
      <w:r w:rsidRPr="00E729F9">
        <w:rPr>
          <w:rFonts w:ascii="Sabon" w:hAnsi="Sabon" w:cs="Arial"/>
          <w:snapToGrid/>
          <w:color w:val="000000"/>
          <w:sz w:val="22"/>
          <w:szCs w:val="22"/>
          <w:lang w:eastAsia="en-GB"/>
        </w:rPr>
        <w:t xml:space="preserve"> of </w:t>
      </w:r>
      <w:r w:rsidR="00813E75" w:rsidRPr="00E729F9">
        <w:rPr>
          <w:rFonts w:ascii="Sabon" w:hAnsi="Sabon" w:cs="Arial"/>
          <w:snapToGrid/>
          <w:color w:val="000000"/>
          <w:sz w:val="22"/>
          <w:szCs w:val="22"/>
          <w:lang w:eastAsia="en-GB"/>
        </w:rPr>
        <w:t>apprenticeship.</w:t>
      </w:r>
    </w:p>
    <w:p w:rsidR="00CC5D18" w:rsidRPr="00E729F9" w:rsidRDefault="00CC5D18" w:rsidP="00E729F9">
      <w:pPr>
        <w:widowControl/>
        <w:autoSpaceDE w:val="0"/>
        <w:autoSpaceDN w:val="0"/>
        <w:adjustRightInd w:val="0"/>
        <w:spacing w:line="276" w:lineRule="auto"/>
        <w:rPr>
          <w:rFonts w:ascii="Sabon" w:hAnsi="Sabon" w:cs="Arial"/>
          <w:snapToGrid/>
          <w:color w:val="000000"/>
          <w:sz w:val="22"/>
          <w:szCs w:val="22"/>
          <w:lang w:eastAsia="en-GB"/>
        </w:rPr>
      </w:pPr>
    </w:p>
    <w:p w:rsidR="007A6DC2" w:rsidRPr="00E729F9" w:rsidRDefault="00813E75" w:rsidP="00E729F9">
      <w:pPr>
        <w:pStyle w:val="NormalWeb"/>
        <w:spacing w:line="276" w:lineRule="auto"/>
        <w:rPr>
          <w:rFonts w:ascii="Sabon" w:hAnsi="Sabon"/>
          <w:snapToGrid/>
          <w:sz w:val="22"/>
          <w:szCs w:val="22"/>
          <w:lang w:eastAsia="en-GB"/>
        </w:rPr>
      </w:pPr>
      <w:r w:rsidRPr="00E729F9">
        <w:rPr>
          <w:rFonts w:ascii="Sabon" w:hAnsi="Sabon"/>
          <w:sz w:val="22"/>
          <w:szCs w:val="22"/>
        </w:rPr>
        <w:t>This</w:t>
      </w:r>
      <w:r w:rsidR="00CC5D18" w:rsidRPr="00E729F9">
        <w:rPr>
          <w:rFonts w:ascii="Sabon" w:hAnsi="Sabon"/>
          <w:sz w:val="22"/>
          <w:szCs w:val="22"/>
        </w:rPr>
        <w:t xml:space="preserve"> request is set in the </w:t>
      </w:r>
      <w:r w:rsidRPr="00E729F9">
        <w:rPr>
          <w:rFonts w:ascii="Sabon" w:hAnsi="Sabon"/>
          <w:sz w:val="22"/>
          <w:szCs w:val="22"/>
        </w:rPr>
        <w:t>context</w:t>
      </w:r>
      <w:r w:rsidR="00CC5D18" w:rsidRPr="00E729F9">
        <w:rPr>
          <w:rFonts w:ascii="Sabon" w:hAnsi="Sabon"/>
          <w:sz w:val="22"/>
          <w:szCs w:val="22"/>
        </w:rPr>
        <w:t xml:space="preserve"> of government taking a broader look at </w:t>
      </w:r>
      <w:r w:rsidRPr="00E729F9">
        <w:rPr>
          <w:rFonts w:ascii="Sabon" w:hAnsi="Sabon"/>
          <w:sz w:val="22"/>
          <w:szCs w:val="22"/>
        </w:rPr>
        <w:t>apprenticeships</w:t>
      </w:r>
      <w:r w:rsidR="00CC5D18" w:rsidRPr="00E729F9">
        <w:rPr>
          <w:rFonts w:ascii="Sabon" w:hAnsi="Sabon"/>
          <w:sz w:val="22"/>
          <w:szCs w:val="22"/>
        </w:rPr>
        <w:t xml:space="preserve"> </w:t>
      </w:r>
      <w:r w:rsidR="003D04BE" w:rsidRPr="00E729F9">
        <w:rPr>
          <w:rFonts w:ascii="Sabon" w:hAnsi="Sabon"/>
          <w:sz w:val="22"/>
          <w:szCs w:val="22"/>
        </w:rPr>
        <w:t xml:space="preserve">in England, rolling out the </w:t>
      </w:r>
      <w:r w:rsidRPr="00E729F9">
        <w:rPr>
          <w:rFonts w:ascii="Sabon" w:hAnsi="Sabon"/>
          <w:sz w:val="22"/>
          <w:szCs w:val="22"/>
        </w:rPr>
        <w:t>recommendations</w:t>
      </w:r>
      <w:r w:rsidR="003D04BE" w:rsidRPr="00E729F9">
        <w:rPr>
          <w:rFonts w:ascii="Sabon" w:hAnsi="Sabon"/>
          <w:sz w:val="22"/>
          <w:szCs w:val="22"/>
        </w:rPr>
        <w:t xml:space="preserve"> of the Richards </w:t>
      </w:r>
      <w:r w:rsidR="00B94A11" w:rsidRPr="00E729F9">
        <w:rPr>
          <w:rFonts w:ascii="Sabon" w:hAnsi="Sabon"/>
          <w:sz w:val="22"/>
          <w:szCs w:val="22"/>
        </w:rPr>
        <w:t>R</w:t>
      </w:r>
      <w:r w:rsidR="003D04BE" w:rsidRPr="00E729F9">
        <w:rPr>
          <w:rFonts w:ascii="Sabon" w:hAnsi="Sabon"/>
          <w:sz w:val="22"/>
          <w:szCs w:val="22"/>
        </w:rPr>
        <w:t>eview.</w:t>
      </w:r>
      <w:r w:rsidR="00CC5D18" w:rsidRPr="00E729F9">
        <w:rPr>
          <w:rFonts w:ascii="Sabon" w:hAnsi="Sabon"/>
          <w:sz w:val="22"/>
          <w:szCs w:val="22"/>
        </w:rPr>
        <w:t xml:space="preserve"> </w:t>
      </w:r>
      <w:r w:rsidR="003D04BE" w:rsidRPr="00E729F9">
        <w:rPr>
          <w:rFonts w:ascii="Sabon" w:hAnsi="Sabon"/>
          <w:sz w:val="22"/>
          <w:szCs w:val="22"/>
        </w:rPr>
        <w:t xml:space="preserve">The intention is that </w:t>
      </w:r>
      <w:r w:rsidRPr="00E729F9">
        <w:rPr>
          <w:rFonts w:ascii="Sabon" w:hAnsi="Sabon"/>
          <w:sz w:val="22"/>
          <w:szCs w:val="22"/>
        </w:rPr>
        <w:t>apprenticeships</w:t>
      </w:r>
      <w:r w:rsidR="003D04BE" w:rsidRPr="00E729F9">
        <w:rPr>
          <w:rFonts w:ascii="Sabon" w:hAnsi="Sabon"/>
          <w:sz w:val="22"/>
          <w:szCs w:val="22"/>
        </w:rPr>
        <w:t xml:space="preserve"> should become “more </w:t>
      </w:r>
      <w:r w:rsidRPr="00E729F9">
        <w:rPr>
          <w:rFonts w:ascii="Sabon" w:hAnsi="Sabon"/>
          <w:sz w:val="22"/>
          <w:szCs w:val="22"/>
        </w:rPr>
        <w:t>rigorous</w:t>
      </w:r>
      <w:r w:rsidR="003D04BE" w:rsidRPr="00E729F9">
        <w:rPr>
          <w:rFonts w:ascii="Sabon" w:hAnsi="Sabon"/>
          <w:sz w:val="22"/>
          <w:szCs w:val="22"/>
        </w:rPr>
        <w:t>” and higher quality</w:t>
      </w:r>
      <w:r w:rsidRPr="00E729F9">
        <w:rPr>
          <w:rFonts w:ascii="Sabon" w:hAnsi="Sabon"/>
          <w:sz w:val="22"/>
          <w:szCs w:val="22"/>
        </w:rPr>
        <w:t>, with</w:t>
      </w:r>
      <w:r w:rsidR="003D04BE" w:rsidRPr="00E729F9">
        <w:rPr>
          <w:rFonts w:ascii="Sabon" w:hAnsi="Sabon"/>
          <w:sz w:val="22"/>
          <w:szCs w:val="22"/>
        </w:rPr>
        <w:t xml:space="preserve"> “</w:t>
      </w:r>
      <w:r w:rsidR="003D04BE" w:rsidRPr="00E729F9">
        <w:rPr>
          <w:rFonts w:ascii="Sabon" w:hAnsi="Sabon"/>
          <w:snapToGrid/>
          <w:sz w:val="22"/>
          <w:szCs w:val="22"/>
          <w:lang w:eastAsia="en-GB"/>
        </w:rPr>
        <w:t>higher expectations on English and maths”</w:t>
      </w:r>
      <w:r w:rsidR="003D04BE" w:rsidRPr="00E729F9">
        <w:rPr>
          <w:rStyle w:val="FootnoteReference"/>
          <w:rFonts w:ascii="Sabon" w:hAnsi="Sabon"/>
          <w:snapToGrid/>
          <w:sz w:val="22"/>
          <w:szCs w:val="22"/>
          <w:lang w:eastAsia="en-GB"/>
        </w:rPr>
        <w:footnoteReference w:id="30"/>
      </w:r>
      <w:r w:rsidR="003D04BE" w:rsidRPr="00E729F9">
        <w:rPr>
          <w:rFonts w:ascii="Sabon" w:hAnsi="Sabon"/>
          <w:snapToGrid/>
          <w:sz w:val="22"/>
          <w:szCs w:val="22"/>
          <w:lang w:eastAsia="en-GB"/>
        </w:rPr>
        <w:t>.</w:t>
      </w:r>
    </w:p>
    <w:p w:rsidR="00DB45CF" w:rsidRPr="00E729F9" w:rsidRDefault="00DB45CF" w:rsidP="00E729F9">
      <w:pPr>
        <w:pStyle w:val="NormalWeb"/>
        <w:spacing w:line="276" w:lineRule="auto"/>
        <w:rPr>
          <w:rFonts w:ascii="Sabon" w:hAnsi="Sabon"/>
          <w:snapToGrid/>
          <w:sz w:val="22"/>
          <w:szCs w:val="22"/>
          <w:lang w:eastAsia="en-GB"/>
        </w:rPr>
      </w:pPr>
    </w:p>
    <w:p w:rsidR="00DB45CF" w:rsidRPr="00E729F9" w:rsidRDefault="00813E75" w:rsidP="00E729F9">
      <w:pPr>
        <w:pStyle w:val="NormalWeb"/>
        <w:spacing w:line="276" w:lineRule="auto"/>
        <w:rPr>
          <w:rFonts w:ascii="Sabon" w:hAnsi="Sabon"/>
          <w:snapToGrid/>
          <w:sz w:val="22"/>
          <w:szCs w:val="22"/>
          <w:lang w:eastAsia="en-GB"/>
        </w:rPr>
      </w:pPr>
      <w:r w:rsidRPr="00E729F9">
        <w:rPr>
          <w:rFonts w:ascii="Sabon" w:hAnsi="Sabon"/>
          <w:snapToGrid/>
          <w:sz w:val="22"/>
          <w:szCs w:val="22"/>
          <w:lang w:eastAsia="en-GB"/>
        </w:rPr>
        <w:t>In terms of the current state of pay, the first thing to note is that most apprentices earn much more than the relevant minimum wage rate, with median earnings reported as £6.09 per hour in an official survey carried out 18 months ago</w:t>
      </w:r>
      <w:r w:rsidRPr="00E729F9">
        <w:rPr>
          <w:rStyle w:val="FootnoteReference"/>
          <w:rFonts w:ascii="Sabon" w:hAnsi="Sabon"/>
          <w:snapToGrid/>
          <w:sz w:val="22"/>
          <w:szCs w:val="22"/>
          <w:lang w:eastAsia="en-GB"/>
        </w:rPr>
        <w:footnoteReference w:id="31"/>
      </w:r>
      <w:r w:rsidRPr="00E729F9">
        <w:rPr>
          <w:rFonts w:ascii="Sabon" w:hAnsi="Sabon"/>
          <w:snapToGrid/>
          <w:sz w:val="22"/>
          <w:szCs w:val="22"/>
          <w:lang w:eastAsia="en-GB"/>
        </w:rPr>
        <w:t xml:space="preserve">.  </w:t>
      </w:r>
    </w:p>
    <w:p w:rsidR="007A6DC2" w:rsidRPr="00E729F9" w:rsidRDefault="007A6DC2" w:rsidP="00E729F9">
      <w:pPr>
        <w:pStyle w:val="NormalWeb"/>
        <w:spacing w:line="276" w:lineRule="auto"/>
        <w:rPr>
          <w:rFonts w:ascii="Sabon" w:hAnsi="Sabon"/>
          <w:snapToGrid/>
          <w:sz w:val="22"/>
          <w:szCs w:val="22"/>
          <w:lang w:eastAsia="en-GB"/>
        </w:rPr>
      </w:pPr>
    </w:p>
    <w:p w:rsidR="007A6DC2" w:rsidRPr="00E729F9" w:rsidRDefault="00813E75" w:rsidP="00E729F9">
      <w:pPr>
        <w:pStyle w:val="NormalWeb"/>
        <w:spacing w:line="276" w:lineRule="auto"/>
        <w:rPr>
          <w:rFonts w:ascii="Sabon" w:hAnsi="Sabon"/>
          <w:sz w:val="22"/>
          <w:szCs w:val="22"/>
        </w:rPr>
      </w:pPr>
      <w:r w:rsidRPr="00E729F9">
        <w:rPr>
          <w:rFonts w:ascii="Sabon" w:hAnsi="Sabon"/>
          <w:sz w:val="22"/>
          <w:szCs w:val="22"/>
        </w:rPr>
        <w:lastRenderedPageBreak/>
        <w:t>However</w:t>
      </w:r>
      <w:r w:rsidR="00BC3E14" w:rsidRPr="00E729F9">
        <w:rPr>
          <w:rFonts w:ascii="Sabon" w:hAnsi="Sabon"/>
          <w:sz w:val="22"/>
          <w:szCs w:val="22"/>
        </w:rPr>
        <w:t>,</w:t>
      </w:r>
      <w:r w:rsidR="00B94A11" w:rsidRPr="00E729F9">
        <w:rPr>
          <w:rFonts w:ascii="Sabon" w:hAnsi="Sabon"/>
          <w:sz w:val="22"/>
          <w:szCs w:val="22"/>
        </w:rPr>
        <w:t xml:space="preserve"> BIS’s apprentice pay survey has also revealed some</w:t>
      </w:r>
      <w:r w:rsidR="00BC3E14" w:rsidRPr="00E729F9">
        <w:rPr>
          <w:rFonts w:ascii="Sabon" w:hAnsi="Sabon"/>
          <w:sz w:val="22"/>
          <w:szCs w:val="22"/>
        </w:rPr>
        <w:t xml:space="preserve"> serious </w:t>
      </w:r>
      <w:r w:rsidR="003D04BE" w:rsidRPr="00E729F9">
        <w:rPr>
          <w:rFonts w:ascii="Sabon" w:hAnsi="Sabon"/>
          <w:sz w:val="22"/>
          <w:szCs w:val="22"/>
        </w:rPr>
        <w:t>short-comings</w:t>
      </w:r>
      <w:r w:rsidR="00B94A11" w:rsidRPr="00E729F9">
        <w:rPr>
          <w:rFonts w:ascii="Sabon" w:hAnsi="Sabon"/>
          <w:sz w:val="22"/>
          <w:szCs w:val="22"/>
        </w:rPr>
        <w:t xml:space="preserve"> which must be addressed if the goals set out in the Richards Review are to be met. </w:t>
      </w:r>
      <w:r w:rsidR="00BC3E14" w:rsidRPr="00E729F9">
        <w:rPr>
          <w:rFonts w:ascii="Sabon" w:hAnsi="Sabon"/>
          <w:sz w:val="22"/>
          <w:szCs w:val="22"/>
        </w:rPr>
        <w:t xml:space="preserve"> </w:t>
      </w:r>
    </w:p>
    <w:p w:rsidR="007A6DC2" w:rsidRPr="00E729F9" w:rsidRDefault="007A6DC2" w:rsidP="00E729F9">
      <w:pPr>
        <w:pStyle w:val="NormalWeb"/>
        <w:spacing w:line="276" w:lineRule="auto"/>
        <w:rPr>
          <w:rFonts w:ascii="Sabon" w:hAnsi="Sabon"/>
          <w:sz w:val="22"/>
          <w:szCs w:val="22"/>
        </w:rPr>
      </w:pPr>
    </w:p>
    <w:p w:rsidR="00BC3E14" w:rsidRPr="00E729F9" w:rsidRDefault="007C1A4A" w:rsidP="00E729F9">
      <w:pPr>
        <w:pStyle w:val="NormalWeb"/>
        <w:spacing w:line="276" w:lineRule="auto"/>
        <w:rPr>
          <w:rFonts w:ascii="Sabon" w:hAnsi="Sabon"/>
          <w:sz w:val="22"/>
          <w:szCs w:val="22"/>
        </w:rPr>
      </w:pPr>
      <w:r w:rsidRPr="00E729F9">
        <w:rPr>
          <w:rFonts w:ascii="Sabon" w:hAnsi="Sabon"/>
          <w:sz w:val="22"/>
          <w:szCs w:val="22"/>
        </w:rPr>
        <w:t xml:space="preserve">One quarter of all </w:t>
      </w:r>
      <w:r w:rsidR="00813E75" w:rsidRPr="00E729F9">
        <w:rPr>
          <w:rFonts w:ascii="Sabon" w:hAnsi="Sabon"/>
          <w:sz w:val="22"/>
          <w:szCs w:val="22"/>
        </w:rPr>
        <w:t>apprentices</w:t>
      </w:r>
      <w:r w:rsidRPr="00E729F9">
        <w:rPr>
          <w:rFonts w:ascii="Sabon" w:hAnsi="Sabon"/>
          <w:sz w:val="22"/>
          <w:szCs w:val="22"/>
        </w:rPr>
        <w:t xml:space="preserve"> </w:t>
      </w:r>
      <w:r w:rsidR="00B94A11" w:rsidRPr="00E729F9">
        <w:rPr>
          <w:rFonts w:ascii="Sabon" w:hAnsi="Sabon"/>
          <w:sz w:val="22"/>
          <w:szCs w:val="22"/>
        </w:rPr>
        <w:t xml:space="preserve">surveyed </w:t>
      </w:r>
      <w:r w:rsidRPr="00E729F9">
        <w:rPr>
          <w:rFonts w:ascii="Sabon" w:hAnsi="Sabon"/>
          <w:sz w:val="22"/>
          <w:szCs w:val="22"/>
        </w:rPr>
        <w:t xml:space="preserve">reported that they were paid amounts that were less </w:t>
      </w:r>
      <w:r w:rsidR="00813E75" w:rsidRPr="00E729F9">
        <w:rPr>
          <w:rFonts w:ascii="Sabon" w:hAnsi="Sabon"/>
          <w:sz w:val="22"/>
          <w:szCs w:val="22"/>
        </w:rPr>
        <w:t>than</w:t>
      </w:r>
      <w:r w:rsidRPr="00E729F9">
        <w:rPr>
          <w:rFonts w:ascii="Sabon" w:hAnsi="Sabon"/>
          <w:sz w:val="22"/>
          <w:szCs w:val="22"/>
        </w:rPr>
        <w:t xml:space="preserve"> the </w:t>
      </w:r>
      <w:r w:rsidR="00813E75" w:rsidRPr="00E729F9">
        <w:rPr>
          <w:rFonts w:ascii="Sabon" w:hAnsi="Sabon"/>
          <w:sz w:val="22"/>
          <w:szCs w:val="22"/>
        </w:rPr>
        <w:t>applicable</w:t>
      </w:r>
      <w:r w:rsidRPr="00E729F9">
        <w:rPr>
          <w:rFonts w:ascii="Sabon" w:hAnsi="Sabon"/>
          <w:sz w:val="22"/>
          <w:szCs w:val="22"/>
        </w:rPr>
        <w:t xml:space="preserve"> </w:t>
      </w:r>
      <w:r w:rsidR="00813E75" w:rsidRPr="00E729F9">
        <w:rPr>
          <w:rFonts w:ascii="Sabon" w:hAnsi="Sabon"/>
          <w:sz w:val="22"/>
          <w:szCs w:val="22"/>
        </w:rPr>
        <w:t>minimum</w:t>
      </w:r>
      <w:r w:rsidR="00D7105F" w:rsidRPr="00E729F9">
        <w:rPr>
          <w:rFonts w:ascii="Sabon" w:hAnsi="Sabon"/>
          <w:sz w:val="22"/>
          <w:szCs w:val="22"/>
        </w:rPr>
        <w:t xml:space="preserve"> wage rate, and four per cent reported that they were not paid at all. As the fieldwork for the survey was conducted soon after the October 2012 increase, it is possible that some respondents were considering the old 2011/2012 rate. But even on this measure, 24 per cent of apprentices were underpaid</w:t>
      </w:r>
      <w:r w:rsidR="00D7105F" w:rsidRPr="00E729F9">
        <w:rPr>
          <w:rStyle w:val="FootnoteReference"/>
          <w:rFonts w:ascii="Sabon" w:hAnsi="Sabon"/>
          <w:sz w:val="22"/>
          <w:szCs w:val="22"/>
        </w:rPr>
        <w:footnoteReference w:id="32"/>
      </w:r>
      <w:r w:rsidR="006966F1" w:rsidRPr="00E729F9">
        <w:rPr>
          <w:rFonts w:ascii="Sabon" w:hAnsi="Sabon"/>
          <w:sz w:val="22"/>
          <w:szCs w:val="22"/>
        </w:rPr>
        <w:t xml:space="preserve">. </w:t>
      </w:r>
    </w:p>
    <w:p w:rsidR="00BC3E14" w:rsidRPr="00E729F9" w:rsidRDefault="00BC3E14" w:rsidP="00E729F9">
      <w:pPr>
        <w:pStyle w:val="NormalWeb"/>
        <w:spacing w:line="276" w:lineRule="auto"/>
        <w:rPr>
          <w:rFonts w:ascii="Sabon" w:hAnsi="Sabon"/>
          <w:sz w:val="22"/>
          <w:szCs w:val="22"/>
        </w:rPr>
      </w:pPr>
    </w:p>
    <w:p w:rsidR="00716FE9" w:rsidRPr="00E729F9" w:rsidRDefault="006966F1" w:rsidP="00E729F9">
      <w:pPr>
        <w:pStyle w:val="NormalWeb"/>
        <w:spacing w:line="276" w:lineRule="auto"/>
        <w:rPr>
          <w:rFonts w:ascii="Sabon" w:hAnsi="Sabon"/>
          <w:sz w:val="22"/>
          <w:szCs w:val="22"/>
        </w:rPr>
      </w:pPr>
      <w:r w:rsidRPr="00E729F9">
        <w:rPr>
          <w:rFonts w:ascii="Sabon" w:hAnsi="Sabon"/>
          <w:sz w:val="22"/>
          <w:szCs w:val="22"/>
        </w:rPr>
        <w:t>In addition, four per cent of apprentices said that they did not receive any pay at all</w:t>
      </w:r>
      <w:r w:rsidRPr="00E729F9">
        <w:rPr>
          <w:rStyle w:val="FootnoteReference"/>
          <w:rFonts w:ascii="Sabon" w:hAnsi="Sabon"/>
          <w:sz w:val="22"/>
          <w:szCs w:val="22"/>
        </w:rPr>
        <w:footnoteReference w:id="33"/>
      </w:r>
      <w:r w:rsidR="00850965" w:rsidRPr="00E729F9">
        <w:rPr>
          <w:rFonts w:ascii="Sabon" w:hAnsi="Sabon"/>
          <w:sz w:val="22"/>
          <w:szCs w:val="22"/>
        </w:rPr>
        <w:t xml:space="preserve">. </w:t>
      </w:r>
      <w:r w:rsidR="00813E75" w:rsidRPr="00E729F9">
        <w:rPr>
          <w:rFonts w:ascii="Sabon" w:hAnsi="Sabon"/>
          <w:sz w:val="22"/>
          <w:szCs w:val="22"/>
        </w:rPr>
        <w:t>One possible explanation for the latter is that college-led programmes may be surviving in some form.</w:t>
      </w:r>
      <w:r w:rsidRPr="00E729F9">
        <w:rPr>
          <w:sz w:val="22"/>
          <w:szCs w:val="22"/>
        </w:rPr>
        <w:t xml:space="preserve"> </w:t>
      </w:r>
      <w:r w:rsidR="00160C3C" w:rsidRPr="00E729F9">
        <w:rPr>
          <w:rFonts w:ascii="Sabon" w:hAnsi="Sabon"/>
          <w:sz w:val="22"/>
          <w:szCs w:val="22"/>
        </w:rPr>
        <w:t xml:space="preserve">The conventional method is for colleges to act as a broker, facilitating introductions between employers and prospective </w:t>
      </w:r>
      <w:r w:rsidR="001C6BC9">
        <w:rPr>
          <w:rFonts w:ascii="Sabon" w:hAnsi="Sabon"/>
          <w:sz w:val="22"/>
          <w:szCs w:val="22"/>
        </w:rPr>
        <w:t>a</w:t>
      </w:r>
      <w:r w:rsidR="00160C3C" w:rsidRPr="00E729F9">
        <w:rPr>
          <w:rFonts w:ascii="Sabon" w:hAnsi="Sabon"/>
          <w:sz w:val="22"/>
          <w:szCs w:val="22"/>
        </w:rPr>
        <w:t xml:space="preserve">pprentices. </w:t>
      </w:r>
      <w:r w:rsidR="00813E75" w:rsidRPr="00E729F9">
        <w:rPr>
          <w:rFonts w:ascii="Sabon" w:hAnsi="Sabon"/>
          <w:sz w:val="22"/>
          <w:szCs w:val="22"/>
        </w:rPr>
        <w:t>This</w:t>
      </w:r>
      <w:r w:rsidR="00850965" w:rsidRPr="00E729F9">
        <w:rPr>
          <w:rFonts w:ascii="Sabon" w:hAnsi="Sabon"/>
          <w:sz w:val="22"/>
          <w:szCs w:val="22"/>
        </w:rPr>
        <w:t xml:space="preserve"> </w:t>
      </w:r>
      <w:r w:rsidR="00EF77C0" w:rsidRPr="00E729F9">
        <w:rPr>
          <w:rFonts w:ascii="Sabon" w:hAnsi="Sabon"/>
          <w:sz w:val="22"/>
          <w:szCs w:val="22"/>
        </w:rPr>
        <w:t>may be a helpful</w:t>
      </w:r>
      <w:r w:rsidR="00850965" w:rsidRPr="00E729F9">
        <w:rPr>
          <w:rFonts w:ascii="Sabon" w:hAnsi="Sabon"/>
          <w:sz w:val="22"/>
          <w:szCs w:val="22"/>
        </w:rPr>
        <w:t xml:space="preserve"> thing, but it is possible that there may be some periods when jobs fall through </w:t>
      </w:r>
      <w:r w:rsidRPr="00E729F9">
        <w:rPr>
          <w:rFonts w:ascii="Sabon" w:hAnsi="Sabon"/>
          <w:sz w:val="22"/>
          <w:szCs w:val="22"/>
        </w:rPr>
        <w:t>and apprentices are still studying but not actually employed.</w:t>
      </w:r>
      <w:r w:rsidRPr="00E729F9">
        <w:rPr>
          <w:sz w:val="22"/>
          <w:szCs w:val="22"/>
        </w:rPr>
        <w:t xml:space="preserve"> </w:t>
      </w:r>
      <w:r w:rsidRPr="00E729F9">
        <w:rPr>
          <w:rStyle w:val="FootnoteReference"/>
          <w:rFonts w:ascii="Sabon" w:hAnsi="Sabon"/>
          <w:sz w:val="22"/>
          <w:szCs w:val="22"/>
        </w:rPr>
        <w:footnoteReference w:id="34"/>
      </w:r>
      <w:r w:rsidR="00B94A11" w:rsidRPr="00E729F9">
        <w:rPr>
          <w:rFonts w:ascii="Sabon" w:hAnsi="Sabon"/>
          <w:sz w:val="22"/>
          <w:szCs w:val="22"/>
        </w:rPr>
        <w:t xml:space="preserve">On the other hand, it may be an indication of a small group of extremely poor quality apprenticeships remaining part of the system. </w:t>
      </w:r>
    </w:p>
    <w:p w:rsidR="00716FE9" w:rsidRPr="00E729F9" w:rsidRDefault="00716FE9" w:rsidP="00E729F9">
      <w:pPr>
        <w:pStyle w:val="NormalWeb"/>
        <w:spacing w:line="276" w:lineRule="auto"/>
        <w:rPr>
          <w:rFonts w:ascii="Sabon" w:hAnsi="Sabon"/>
          <w:sz w:val="22"/>
          <w:szCs w:val="22"/>
        </w:rPr>
      </w:pPr>
    </w:p>
    <w:p w:rsidR="00BC3E14" w:rsidRPr="00E729F9" w:rsidRDefault="00813E75" w:rsidP="00E729F9">
      <w:pPr>
        <w:pStyle w:val="T5TextBody"/>
        <w:spacing w:line="276" w:lineRule="auto"/>
        <w:rPr>
          <w:szCs w:val="22"/>
        </w:rPr>
      </w:pPr>
      <w:r w:rsidRPr="00E729F9">
        <w:rPr>
          <w:szCs w:val="22"/>
        </w:rPr>
        <w:t>Zero hours contracts are not generally permitted</w:t>
      </w:r>
      <w:r w:rsidR="00565443">
        <w:rPr>
          <w:szCs w:val="22"/>
        </w:rPr>
        <w:t xml:space="preserve"> for apprentices</w:t>
      </w:r>
      <w:r w:rsidRPr="00E729F9">
        <w:rPr>
          <w:szCs w:val="22"/>
        </w:rPr>
        <w:t xml:space="preserve">, as there is a requirement </w:t>
      </w:r>
      <w:r w:rsidR="00B94A11" w:rsidRPr="00E729F9">
        <w:rPr>
          <w:szCs w:val="22"/>
        </w:rPr>
        <w:t xml:space="preserve">for apprentices </w:t>
      </w:r>
      <w:r w:rsidRPr="00E729F9">
        <w:rPr>
          <w:szCs w:val="22"/>
        </w:rPr>
        <w:t xml:space="preserve">to be in employment for at least 30 hours per week. However, there is a worrying tendency for some employers, particularly in catering, to contract apprentices for 30 hours per week, but to write in a contractual requirement </w:t>
      </w:r>
      <w:r w:rsidR="00B94A11" w:rsidRPr="00E729F9">
        <w:rPr>
          <w:szCs w:val="22"/>
        </w:rPr>
        <w:t xml:space="preserve">for them </w:t>
      </w:r>
      <w:r w:rsidRPr="00E729F9">
        <w:rPr>
          <w:szCs w:val="22"/>
        </w:rPr>
        <w:t xml:space="preserve">to work as many extra hours as the employer demands. </w:t>
      </w:r>
      <w:r w:rsidR="00BC3E14" w:rsidRPr="00E729F9">
        <w:rPr>
          <w:szCs w:val="22"/>
        </w:rPr>
        <w:t xml:space="preserve">Such </w:t>
      </w:r>
      <w:r w:rsidRPr="00E729F9">
        <w:rPr>
          <w:szCs w:val="22"/>
        </w:rPr>
        <w:t>arrangements</w:t>
      </w:r>
      <w:r w:rsidR="00BC3E14" w:rsidRPr="00E729F9">
        <w:rPr>
          <w:szCs w:val="22"/>
        </w:rPr>
        <w:t xml:space="preserve"> often lead to weekly pay packets that are below the </w:t>
      </w:r>
      <w:r w:rsidR="002C2E7C" w:rsidRPr="00E729F9">
        <w:rPr>
          <w:szCs w:val="22"/>
        </w:rPr>
        <w:t xml:space="preserve">£95 rate specified by the </w:t>
      </w:r>
      <w:r w:rsidR="00BC3E14" w:rsidRPr="00E729F9">
        <w:rPr>
          <w:szCs w:val="22"/>
        </w:rPr>
        <w:t xml:space="preserve">old </w:t>
      </w:r>
      <w:r w:rsidRPr="00E729F9">
        <w:rPr>
          <w:szCs w:val="22"/>
        </w:rPr>
        <w:t>Apprentices</w:t>
      </w:r>
      <w:r w:rsidR="00BC3E14" w:rsidRPr="00E729F9">
        <w:rPr>
          <w:szCs w:val="22"/>
        </w:rPr>
        <w:t xml:space="preserve"> </w:t>
      </w:r>
      <w:r w:rsidRPr="00E729F9">
        <w:rPr>
          <w:szCs w:val="22"/>
        </w:rPr>
        <w:t>Minimum</w:t>
      </w:r>
      <w:r w:rsidR="00BC3E14" w:rsidRPr="00E729F9">
        <w:rPr>
          <w:szCs w:val="22"/>
        </w:rPr>
        <w:t xml:space="preserve"> Income </w:t>
      </w:r>
      <w:r w:rsidRPr="00E729F9">
        <w:rPr>
          <w:szCs w:val="22"/>
        </w:rPr>
        <w:t>Guarantee</w:t>
      </w:r>
      <w:r w:rsidR="00BC3E14" w:rsidRPr="00E729F9">
        <w:rPr>
          <w:szCs w:val="22"/>
        </w:rPr>
        <w:t>.</w:t>
      </w:r>
    </w:p>
    <w:p w:rsidR="00226E1B" w:rsidRPr="00E729F9" w:rsidRDefault="001C4AF9" w:rsidP="00E729F9">
      <w:pPr>
        <w:pStyle w:val="T5TextBody"/>
        <w:spacing w:line="276" w:lineRule="auto"/>
        <w:rPr>
          <w:szCs w:val="22"/>
        </w:rPr>
      </w:pPr>
      <w:r w:rsidRPr="00E729F9">
        <w:rPr>
          <w:szCs w:val="22"/>
        </w:rPr>
        <w:t xml:space="preserve">At the </w:t>
      </w:r>
      <w:r w:rsidR="00813E75" w:rsidRPr="00E729F9">
        <w:rPr>
          <w:szCs w:val="22"/>
        </w:rPr>
        <w:t>other</w:t>
      </w:r>
      <w:r w:rsidRPr="00E729F9">
        <w:rPr>
          <w:szCs w:val="22"/>
        </w:rPr>
        <w:t xml:space="preserve"> end of the </w:t>
      </w:r>
      <w:r w:rsidR="00813E75" w:rsidRPr="00E729F9">
        <w:rPr>
          <w:szCs w:val="22"/>
        </w:rPr>
        <w:t>scale</w:t>
      </w:r>
      <w:r w:rsidRPr="00E729F9">
        <w:rPr>
          <w:szCs w:val="22"/>
        </w:rPr>
        <w:t xml:space="preserve">, a small proportion of apprentices report that they are </w:t>
      </w:r>
      <w:r w:rsidR="00813E75" w:rsidRPr="00E729F9">
        <w:rPr>
          <w:szCs w:val="22"/>
        </w:rPr>
        <w:t>contracted</w:t>
      </w:r>
      <w:r w:rsidRPr="00E729F9">
        <w:rPr>
          <w:szCs w:val="22"/>
        </w:rPr>
        <w:t xml:space="preserve"> to work more than 50 hours per week</w:t>
      </w:r>
      <w:r w:rsidR="00BC3E14" w:rsidRPr="00E729F9">
        <w:rPr>
          <w:szCs w:val="22"/>
        </w:rPr>
        <w:t xml:space="preserve">, an amount that may </w:t>
      </w:r>
      <w:r w:rsidR="00B94A11" w:rsidRPr="00E729F9">
        <w:rPr>
          <w:szCs w:val="22"/>
        </w:rPr>
        <w:t xml:space="preserve">put </w:t>
      </w:r>
      <w:r w:rsidR="00BC3E14" w:rsidRPr="00E729F9">
        <w:rPr>
          <w:szCs w:val="22"/>
        </w:rPr>
        <w:t xml:space="preserve">their health at </w:t>
      </w:r>
      <w:r w:rsidR="00813E75" w:rsidRPr="00E729F9">
        <w:rPr>
          <w:szCs w:val="22"/>
        </w:rPr>
        <w:t>risk</w:t>
      </w:r>
      <w:r w:rsidRPr="00E729F9">
        <w:rPr>
          <w:rStyle w:val="FootnoteReference"/>
          <w:sz w:val="22"/>
          <w:szCs w:val="22"/>
        </w:rPr>
        <w:footnoteReference w:id="35"/>
      </w:r>
      <w:r w:rsidRPr="00E729F9">
        <w:rPr>
          <w:szCs w:val="22"/>
        </w:rPr>
        <w:t>.</w:t>
      </w:r>
    </w:p>
    <w:p w:rsidR="001C4AF9" w:rsidRPr="00E729F9" w:rsidRDefault="00D528E6" w:rsidP="00E729F9">
      <w:pPr>
        <w:pStyle w:val="NormalWeb"/>
        <w:spacing w:line="276" w:lineRule="auto"/>
        <w:rPr>
          <w:rFonts w:ascii="Sabon" w:hAnsi="Sabon"/>
          <w:sz w:val="22"/>
          <w:szCs w:val="22"/>
        </w:rPr>
      </w:pPr>
      <w:r w:rsidRPr="00E729F9">
        <w:rPr>
          <w:rFonts w:ascii="Sabon" w:hAnsi="Sabon"/>
          <w:sz w:val="22"/>
          <w:szCs w:val="22"/>
        </w:rPr>
        <w:t xml:space="preserve">Whilst </w:t>
      </w:r>
      <w:r w:rsidR="00813E75" w:rsidRPr="00E729F9">
        <w:rPr>
          <w:rFonts w:ascii="Sabon" w:hAnsi="Sabon"/>
          <w:sz w:val="22"/>
          <w:szCs w:val="22"/>
        </w:rPr>
        <w:t>there</w:t>
      </w:r>
      <w:r w:rsidRPr="00E729F9">
        <w:rPr>
          <w:rFonts w:ascii="Sabon" w:hAnsi="Sabon"/>
          <w:sz w:val="22"/>
          <w:szCs w:val="22"/>
        </w:rPr>
        <w:t xml:space="preserve"> may be </w:t>
      </w:r>
      <w:r w:rsidR="00813E75" w:rsidRPr="00E729F9">
        <w:rPr>
          <w:rFonts w:ascii="Sabon" w:hAnsi="Sabon"/>
          <w:sz w:val="22"/>
          <w:szCs w:val="22"/>
        </w:rPr>
        <w:t>some employers</w:t>
      </w:r>
      <w:r w:rsidRPr="00E729F9">
        <w:rPr>
          <w:rFonts w:ascii="Sabon" w:hAnsi="Sabon"/>
          <w:sz w:val="22"/>
          <w:szCs w:val="22"/>
        </w:rPr>
        <w:t xml:space="preserve"> who </w:t>
      </w:r>
      <w:r w:rsidR="00813E75" w:rsidRPr="00E729F9">
        <w:rPr>
          <w:rFonts w:ascii="Sabon" w:hAnsi="Sabon"/>
          <w:sz w:val="22"/>
          <w:szCs w:val="22"/>
        </w:rPr>
        <w:t>genuinely</w:t>
      </w:r>
      <w:r w:rsidRPr="00E729F9">
        <w:rPr>
          <w:rFonts w:ascii="Sabon" w:hAnsi="Sabon"/>
          <w:sz w:val="22"/>
          <w:szCs w:val="22"/>
        </w:rPr>
        <w:t xml:space="preserve"> do not know the rules, the TUC is not convinced that all such </w:t>
      </w:r>
      <w:r w:rsidR="00813E75" w:rsidRPr="00E729F9">
        <w:rPr>
          <w:rFonts w:ascii="Sabon" w:hAnsi="Sabon"/>
          <w:sz w:val="22"/>
          <w:szCs w:val="22"/>
        </w:rPr>
        <w:t>protestations</w:t>
      </w:r>
      <w:r w:rsidRPr="00E729F9">
        <w:rPr>
          <w:rFonts w:ascii="Sabon" w:hAnsi="Sabon"/>
          <w:sz w:val="22"/>
          <w:szCs w:val="22"/>
        </w:rPr>
        <w:t xml:space="preserve"> are genuine.  </w:t>
      </w:r>
      <w:r w:rsidR="00813E75" w:rsidRPr="00E729F9">
        <w:rPr>
          <w:rFonts w:ascii="Sabon" w:hAnsi="Sabon"/>
          <w:sz w:val="22"/>
          <w:szCs w:val="22"/>
        </w:rPr>
        <w:t>Employer</w:t>
      </w:r>
      <w:r w:rsidR="00B94A11" w:rsidRPr="00E729F9">
        <w:rPr>
          <w:rFonts w:ascii="Sabon" w:hAnsi="Sabon"/>
          <w:sz w:val="22"/>
          <w:szCs w:val="22"/>
        </w:rPr>
        <w:t>s’</w:t>
      </w:r>
      <w:r w:rsidRPr="00E729F9">
        <w:rPr>
          <w:rFonts w:ascii="Sabon" w:hAnsi="Sabon"/>
          <w:sz w:val="22"/>
          <w:szCs w:val="22"/>
        </w:rPr>
        <w:t xml:space="preserve"> </w:t>
      </w:r>
      <w:r w:rsidR="00813E75" w:rsidRPr="00E729F9">
        <w:rPr>
          <w:rFonts w:ascii="Sabon" w:hAnsi="Sabon"/>
          <w:sz w:val="22"/>
          <w:szCs w:val="22"/>
        </w:rPr>
        <w:t>organisations</w:t>
      </w:r>
      <w:r w:rsidRPr="00E729F9">
        <w:rPr>
          <w:rFonts w:ascii="Sabon" w:hAnsi="Sabon"/>
          <w:sz w:val="22"/>
          <w:szCs w:val="22"/>
        </w:rPr>
        <w:t xml:space="preserve"> and others have </w:t>
      </w:r>
      <w:r w:rsidR="00813E75" w:rsidRPr="00E729F9">
        <w:rPr>
          <w:rFonts w:ascii="Sabon" w:hAnsi="Sabon"/>
          <w:sz w:val="22"/>
          <w:szCs w:val="22"/>
        </w:rPr>
        <w:t>actually</w:t>
      </w:r>
      <w:r w:rsidRPr="00E729F9">
        <w:rPr>
          <w:rFonts w:ascii="Sabon" w:hAnsi="Sabon"/>
          <w:sz w:val="22"/>
          <w:szCs w:val="22"/>
        </w:rPr>
        <w:t xml:space="preserve"> produced </w:t>
      </w:r>
      <w:r w:rsidR="00813E75" w:rsidRPr="00E729F9">
        <w:rPr>
          <w:rFonts w:ascii="Sabon" w:hAnsi="Sabon"/>
          <w:sz w:val="22"/>
          <w:szCs w:val="22"/>
        </w:rPr>
        <w:t xml:space="preserve">a </w:t>
      </w:r>
      <w:r w:rsidR="00B94A11" w:rsidRPr="00E729F9">
        <w:rPr>
          <w:rFonts w:ascii="Sabon" w:hAnsi="Sabon"/>
          <w:sz w:val="22"/>
          <w:szCs w:val="22"/>
        </w:rPr>
        <w:t xml:space="preserve">substantial </w:t>
      </w:r>
      <w:r w:rsidRPr="00E729F9">
        <w:rPr>
          <w:rFonts w:ascii="Sabon" w:hAnsi="Sabon"/>
          <w:sz w:val="22"/>
          <w:szCs w:val="22"/>
        </w:rPr>
        <w:t>amount of guidance</w:t>
      </w:r>
      <w:r w:rsidR="00B94A11" w:rsidRPr="00E729F9">
        <w:rPr>
          <w:rFonts w:ascii="Sabon" w:hAnsi="Sabon"/>
          <w:sz w:val="22"/>
          <w:szCs w:val="22"/>
        </w:rPr>
        <w:t xml:space="preserve"> </w:t>
      </w:r>
      <w:r w:rsidR="00B94A11" w:rsidRPr="00E729F9">
        <w:rPr>
          <w:rFonts w:ascii="Sabon" w:hAnsi="Sabon"/>
          <w:sz w:val="22"/>
          <w:szCs w:val="22"/>
        </w:rPr>
        <w:lastRenderedPageBreak/>
        <w:t>and information about apprentice rates is easily available via the internet</w:t>
      </w:r>
      <w:r w:rsidR="00813E75" w:rsidRPr="00E729F9">
        <w:rPr>
          <w:rFonts w:ascii="Sabon" w:hAnsi="Sabon"/>
          <w:sz w:val="22"/>
          <w:szCs w:val="22"/>
        </w:rPr>
        <w:t>.</w:t>
      </w:r>
      <w:r w:rsidRPr="00E729F9">
        <w:rPr>
          <w:rFonts w:ascii="Sabon" w:hAnsi="Sabon"/>
          <w:sz w:val="22"/>
          <w:szCs w:val="22"/>
        </w:rPr>
        <w:t xml:space="preserve"> To take just one sector as an </w:t>
      </w:r>
      <w:r w:rsidR="00813E75" w:rsidRPr="00E729F9">
        <w:rPr>
          <w:rFonts w:ascii="Sabon" w:hAnsi="Sabon"/>
          <w:sz w:val="22"/>
          <w:szCs w:val="22"/>
        </w:rPr>
        <w:t>example</w:t>
      </w:r>
      <w:r w:rsidRPr="00E729F9">
        <w:rPr>
          <w:rFonts w:ascii="Sabon" w:hAnsi="Sabon"/>
          <w:sz w:val="22"/>
          <w:szCs w:val="22"/>
        </w:rPr>
        <w:t xml:space="preserve">, there is ample guidance for </w:t>
      </w:r>
      <w:r w:rsidR="00813E75" w:rsidRPr="00E729F9">
        <w:rPr>
          <w:rFonts w:ascii="Sabon" w:hAnsi="Sabon"/>
          <w:sz w:val="22"/>
          <w:szCs w:val="22"/>
        </w:rPr>
        <w:t>employers</w:t>
      </w:r>
      <w:r w:rsidRPr="00E729F9">
        <w:rPr>
          <w:rFonts w:ascii="Sabon" w:hAnsi="Sabon"/>
          <w:sz w:val="22"/>
          <w:szCs w:val="22"/>
        </w:rPr>
        <w:t xml:space="preserve"> in hairdressing:</w:t>
      </w:r>
    </w:p>
    <w:p w:rsidR="00D528E6" w:rsidRDefault="00D528E6" w:rsidP="001C4AF9">
      <w:pPr>
        <w:pStyle w:val="NormalWeb"/>
        <w:spacing w:line="276" w:lineRule="auto"/>
        <w:rPr>
          <w:rFonts w:ascii="Sabon" w:hAnsi="Sabon"/>
          <w:sz w:val="22"/>
          <w:szCs w:val="22"/>
        </w:rPr>
      </w:pPr>
    </w:p>
    <w:p w:rsidR="00B94A11" w:rsidRDefault="00813E75" w:rsidP="00B94A11">
      <w:pPr>
        <w:pStyle w:val="T5TextBody"/>
        <w:numPr>
          <w:ilvl w:val="0"/>
          <w:numId w:val="23"/>
        </w:numPr>
        <w:spacing w:line="276" w:lineRule="auto"/>
      </w:pPr>
      <w:r>
        <w:t>The National Hairdressing Federation produce</w:t>
      </w:r>
      <w:r w:rsidR="00565443">
        <w:t>s</w:t>
      </w:r>
      <w:r>
        <w:t xml:space="preserve"> guidance on how to comply with the NMW for their members</w:t>
      </w:r>
      <w:r w:rsidR="00B94A11">
        <w:t xml:space="preserve">: </w:t>
      </w:r>
      <w:hyperlink r:id="rId12" w:history="1">
        <w:r w:rsidR="00B94A11" w:rsidRPr="00712483">
          <w:rPr>
            <w:rStyle w:val="Hyperlink"/>
          </w:rPr>
          <w:t>http://www.nhf.info/news/naming-and-shaming-businesses-for-failing-to-pay-the-national/</w:t>
        </w:r>
      </w:hyperlink>
      <w:r w:rsidR="00B94A11" w:rsidRPr="00712483">
        <w:t xml:space="preserve"> </w:t>
      </w:r>
    </w:p>
    <w:p w:rsidR="00B94A11" w:rsidRDefault="007041A3" w:rsidP="00B94A11">
      <w:pPr>
        <w:pStyle w:val="T5TextBody"/>
        <w:numPr>
          <w:ilvl w:val="0"/>
          <w:numId w:val="23"/>
        </w:numPr>
        <w:spacing w:line="276" w:lineRule="auto"/>
      </w:pPr>
      <w:r>
        <w:t>Habbia, the sector skills council for the industry also produce</w:t>
      </w:r>
      <w:r w:rsidR="00B94A11">
        <w:t>s</w:t>
      </w:r>
      <w:r>
        <w:t xml:space="preserve"> guidance</w:t>
      </w:r>
      <w:r w:rsidR="00B94A11">
        <w:t xml:space="preserve">: </w:t>
      </w:r>
      <w:hyperlink r:id="rId13" w:history="1">
        <w:r w:rsidR="00B94A11" w:rsidRPr="00712483">
          <w:rPr>
            <w:rStyle w:val="Hyperlink"/>
          </w:rPr>
          <w:t>http://www.habia.org/c/1750/minimum-wage</w:t>
        </w:r>
      </w:hyperlink>
    </w:p>
    <w:p w:rsidR="00A82B02" w:rsidRDefault="000D0FCD" w:rsidP="00A82B02">
      <w:pPr>
        <w:pStyle w:val="NormalWeb"/>
        <w:spacing w:line="276" w:lineRule="auto"/>
        <w:rPr>
          <w:rFonts w:ascii="Sabon" w:hAnsi="Sabon"/>
          <w:sz w:val="22"/>
          <w:szCs w:val="22"/>
        </w:rPr>
      </w:pPr>
      <w:r w:rsidRPr="00A82B02">
        <w:rPr>
          <w:rFonts w:ascii="Sabon" w:hAnsi="Sabon"/>
          <w:sz w:val="22"/>
          <w:szCs w:val="22"/>
        </w:rPr>
        <w:t xml:space="preserve">However, we do acknowledge that some employers either do not understand the current rules or are careless about the relevant details. </w:t>
      </w:r>
      <w:r w:rsidR="008556FF">
        <w:rPr>
          <w:rFonts w:ascii="Sabon" w:hAnsi="Sabon"/>
          <w:sz w:val="22"/>
          <w:szCs w:val="22"/>
        </w:rPr>
        <w:t>T</w:t>
      </w:r>
      <w:r w:rsidRPr="00A82B02">
        <w:rPr>
          <w:rFonts w:ascii="Sabon" w:hAnsi="Sabon"/>
          <w:sz w:val="22"/>
          <w:szCs w:val="22"/>
        </w:rPr>
        <w:t xml:space="preserve">he introduction of the apprentice rate was followed rapidly by the total withdrawal of government spending on advertising and disseminating the minimum wage, followed after a couple of years by the restoration of about 10 per cent of the 2009/2010 dissemination budget. Action in this area is vital if employer knowledge and awareness is to improve. </w:t>
      </w:r>
    </w:p>
    <w:p w:rsidR="00A82B02" w:rsidRDefault="00A82B02" w:rsidP="001C4AF9">
      <w:pPr>
        <w:pStyle w:val="NormalWeb"/>
        <w:spacing w:line="276" w:lineRule="auto"/>
        <w:rPr>
          <w:rFonts w:ascii="Sabon" w:hAnsi="Sabon"/>
          <w:sz w:val="22"/>
          <w:szCs w:val="22"/>
        </w:rPr>
      </w:pPr>
    </w:p>
    <w:p w:rsidR="001C4AF9" w:rsidRPr="00A82B02" w:rsidRDefault="00B94A11" w:rsidP="001C4AF9">
      <w:pPr>
        <w:pStyle w:val="NormalWeb"/>
        <w:spacing w:line="276" w:lineRule="auto"/>
        <w:rPr>
          <w:rFonts w:ascii="Sabon" w:hAnsi="Sabon"/>
          <w:b/>
          <w:sz w:val="22"/>
          <w:szCs w:val="22"/>
        </w:rPr>
      </w:pPr>
      <w:r w:rsidRPr="00A82B02">
        <w:rPr>
          <w:rFonts w:ascii="Sabon" w:hAnsi="Sabon"/>
          <w:b/>
          <w:sz w:val="22"/>
          <w:szCs w:val="22"/>
        </w:rPr>
        <w:t>The future of apprenticeships</w:t>
      </w:r>
    </w:p>
    <w:p w:rsidR="00DE43C1" w:rsidRDefault="00BC3E14" w:rsidP="00BC3E14">
      <w:pPr>
        <w:pStyle w:val="NormalWeb"/>
        <w:spacing w:line="276" w:lineRule="auto"/>
        <w:rPr>
          <w:rFonts w:ascii="Sabon" w:hAnsi="Sabon"/>
          <w:sz w:val="22"/>
          <w:szCs w:val="22"/>
        </w:rPr>
      </w:pPr>
      <w:r>
        <w:rPr>
          <w:rFonts w:ascii="Sabon" w:hAnsi="Sabon"/>
          <w:sz w:val="22"/>
          <w:szCs w:val="22"/>
        </w:rPr>
        <w:t xml:space="preserve">The </w:t>
      </w:r>
      <w:r w:rsidR="007041A3">
        <w:rPr>
          <w:rFonts w:ascii="Sabon" w:hAnsi="Sabon"/>
          <w:sz w:val="22"/>
          <w:szCs w:val="22"/>
        </w:rPr>
        <w:t>revival</w:t>
      </w:r>
      <w:r>
        <w:rPr>
          <w:rFonts w:ascii="Sabon" w:hAnsi="Sabon"/>
          <w:sz w:val="22"/>
          <w:szCs w:val="22"/>
        </w:rPr>
        <w:t xml:space="preserve"> of apprenticeships has </w:t>
      </w:r>
      <w:r w:rsidR="007041A3">
        <w:rPr>
          <w:rFonts w:ascii="Sabon" w:hAnsi="Sabon"/>
          <w:sz w:val="22"/>
          <w:szCs w:val="22"/>
        </w:rPr>
        <w:t>generally</w:t>
      </w:r>
      <w:r>
        <w:rPr>
          <w:rFonts w:ascii="Sabon" w:hAnsi="Sabon"/>
          <w:sz w:val="22"/>
          <w:szCs w:val="22"/>
        </w:rPr>
        <w:t xml:space="preserve"> been a success story, </w:t>
      </w:r>
      <w:r w:rsidR="00DE43C1">
        <w:rPr>
          <w:rFonts w:ascii="Sabon" w:hAnsi="Sabon"/>
          <w:sz w:val="22"/>
          <w:szCs w:val="22"/>
        </w:rPr>
        <w:t xml:space="preserve">rising from less than 100,000 apprentices to more than 800,000 in just a decade, </w:t>
      </w:r>
      <w:r>
        <w:rPr>
          <w:rFonts w:ascii="Sabon" w:hAnsi="Sabon"/>
          <w:sz w:val="22"/>
          <w:szCs w:val="22"/>
        </w:rPr>
        <w:t xml:space="preserve">but the </w:t>
      </w:r>
      <w:r w:rsidR="002B25E5">
        <w:rPr>
          <w:rFonts w:ascii="Sabon" w:hAnsi="Sabon"/>
          <w:sz w:val="22"/>
          <w:szCs w:val="22"/>
        </w:rPr>
        <w:t>strong expansion</w:t>
      </w:r>
      <w:r>
        <w:rPr>
          <w:rFonts w:ascii="Sabon" w:hAnsi="Sabon"/>
          <w:sz w:val="22"/>
          <w:szCs w:val="22"/>
        </w:rPr>
        <w:t xml:space="preserve"> of the programme has </w:t>
      </w:r>
      <w:r w:rsidR="002C2E7C">
        <w:rPr>
          <w:rFonts w:ascii="Sabon" w:hAnsi="Sabon"/>
          <w:sz w:val="22"/>
          <w:szCs w:val="22"/>
        </w:rPr>
        <w:t xml:space="preserve">also </w:t>
      </w:r>
      <w:r>
        <w:rPr>
          <w:rFonts w:ascii="Sabon" w:hAnsi="Sabon"/>
          <w:sz w:val="22"/>
          <w:szCs w:val="22"/>
        </w:rPr>
        <w:t xml:space="preserve">led to a number of flaws. </w:t>
      </w:r>
    </w:p>
    <w:p w:rsidR="00DE43C1" w:rsidRDefault="00DE43C1" w:rsidP="00BC3E14">
      <w:pPr>
        <w:pStyle w:val="NormalWeb"/>
        <w:spacing w:line="276" w:lineRule="auto"/>
        <w:rPr>
          <w:rFonts w:ascii="Sabon" w:hAnsi="Sabon"/>
          <w:sz w:val="22"/>
          <w:szCs w:val="22"/>
        </w:rPr>
      </w:pPr>
    </w:p>
    <w:p w:rsidR="000D0FCD" w:rsidRDefault="000D0FCD" w:rsidP="000D0FCD">
      <w:pPr>
        <w:pStyle w:val="NormalWeb"/>
        <w:spacing w:line="276" w:lineRule="auto"/>
        <w:rPr>
          <w:rFonts w:ascii="Sabon" w:hAnsi="Sabon"/>
          <w:sz w:val="22"/>
          <w:szCs w:val="22"/>
        </w:rPr>
      </w:pPr>
      <w:r>
        <w:rPr>
          <w:rFonts w:ascii="Sabon" w:hAnsi="Sabon"/>
          <w:sz w:val="22"/>
          <w:szCs w:val="22"/>
        </w:rPr>
        <w:t>T</w:t>
      </w:r>
      <w:r w:rsidR="00BC3E14" w:rsidRPr="00716FE9">
        <w:rPr>
          <w:rFonts w:ascii="Sabon" w:hAnsi="Sabon"/>
          <w:sz w:val="22"/>
          <w:szCs w:val="22"/>
        </w:rPr>
        <w:t>he rapid growth of the apprentice programme has led to quality</w:t>
      </w:r>
      <w:r w:rsidR="00BC3E14">
        <w:rPr>
          <w:rFonts w:ascii="Sabon" w:hAnsi="Sabon"/>
          <w:sz w:val="22"/>
          <w:szCs w:val="22"/>
        </w:rPr>
        <w:t xml:space="preserve"> issues in a substantial minority of cases.  For example, </w:t>
      </w:r>
      <w:r w:rsidR="00BC3E14" w:rsidRPr="00850965">
        <w:rPr>
          <w:rFonts w:ascii="Sabon" w:hAnsi="Sabon"/>
          <w:sz w:val="22"/>
          <w:szCs w:val="22"/>
        </w:rPr>
        <w:t xml:space="preserve">19 per cent of apprentices </w:t>
      </w:r>
      <w:r w:rsidR="007041A3" w:rsidRPr="00850965">
        <w:rPr>
          <w:rFonts w:ascii="Sabon" w:hAnsi="Sabon"/>
          <w:sz w:val="22"/>
          <w:szCs w:val="22"/>
        </w:rPr>
        <w:t>reported</w:t>
      </w:r>
      <w:r w:rsidR="00BC3E14">
        <w:rPr>
          <w:rFonts w:ascii="Sabon" w:hAnsi="Sabon"/>
          <w:sz w:val="22"/>
          <w:szCs w:val="22"/>
        </w:rPr>
        <w:t xml:space="preserve"> in the BIS survey </w:t>
      </w:r>
      <w:r w:rsidR="00BC3E14" w:rsidRPr="00850965">
        <w:rPr>
          <w:rFonts w:ascii="Sabon" w:hAnsi="Sabon"/>
          <w:sz w:val="22"/>
          <w:szCs w:val="22"/>
        </w:rPr>
        <w:t xml:space="preserve">that they </w:t>
      </w:r>
      <w:r w:rsidR="007041A3" w:rsidRPr="00850965">
        <w:rPr>
          <w:rFonts w:ascii="Sabon" w:hAnsi="Sabon"/>
          <w:sz w:val="22"/>
          <w:szCs w:val="22"/>
        </w:rPr>
        <w:t>received</w:t>
      </w:r>
      <w:r w:rsidR="00BC3E14" w:rsidRPr="00850965">
        <w:rPr>
          <w:rFonts w:ascii="Sabon" w:hAnsi="Sabon"/>
          <w:sz w:val="22"/>
          <w:szCs w:val="22"/>
        </w:rPr>
        <w:t xml:space="preserve"> n</w:t>
      </w:r>
      <w:r w:rsidR="00BC3E14">
        <w:rPr>
          <w:rFonts w:ascii="Sabon" w:hAnsi="Sabon"/>
          <w:sz w:val="22"/>
          <w:szCs w:val="22"/>
        </w:rPr>
        <w:t>either</w:t>
      </w:r>
      <w:r w:rsidR="00BC3E14" w:rsidRPr="00850965">
        <w:rPr>
          <w:rFonts w:ascii="Sabon" w:hAnsi="Sabon"/>
          <w:sz w:val="22"/>
          <w:szCs w:val="22"/>
        </w:rPr>
        <w:t xml:space="preserve"> on </w:t>
      </w:r>
      <w:r>
        <w:rPr>
          <w:rFonts w:ascii="Sabon" w:hAnsi="Sabon"/>
          <w:sz w:val="22"/>
          <w:szCs w:val="22"/>
        </w:rPr>
        <w:t>n</w:t>
      </w:r>
      <w:r w:rsidR="00BC3E14" w:rsidRPr="00850965">
        <w:rPr>
          <w:rFonts w:ascii="Sabon" w:hAnsi="Sabon"/>
          <w:sz w:val="22"/>
          <w:szCs w:val="22"/>
        </w:rPr>
        <w:t xml:space="preserve">or off-the-job training, whilst 16 per </w:t>
      </w:r>
      <w:r w:rsidR="007041A3" w:rsidRPr="00850965">
        <w:rPr>
          <w:rFonts w:ascii="Sabon" w:hAnsi="Sabon"/>
          <w:sz w:val="22"/>
          <w:szCs w:val="22"/>
        </w:rPr>
        <w:t>cent</w:t>
      </w:r>
      <w:r w:rsidR="00BC3E14" w:rsidRPr="00850965">
        <w:rPr>
          <w:rFonts w:ascii="Sabon" w:hAnsi="Sabon"/>
          <w:sz w:val="22"/>
          <w:szCs w:val="22"/>
        </w:rPr>
        <w:t xml:space="preserve"> report that they have no external assessor, or are simply never assessed.</w:t>
      </w:r>
      <w:r w:rsidR="00BC3E14" w:rsidRPr="00850965">
        <w:rPr>
          <w:rStyle w:val="FootnoteReference"/>
          <w:rFonts w:ascii="Sabon" w:hAnsi="Sabon"/>
          <w:sz w:val="22"/>
          <w:szCs w:val="22"/>
        </w:rPr>
        <w:footnoteReference w:id="36"/>
      </w:r>
      <w:r w:rsidRPr="000D0FCD">
        <w:rPr>
          <w:rFonts w:ascii="Sabon" w:hAnsi="Sabon"/>
          <w:sz w:val="22"/>
          <w:szCs w:val="22"/>
        </w:rPr>
        <w:t xml:space="preserve"> </w:t>
      </w:r>
      <w:r>
        <w:rPr>
          <w:rFonts w:ascii="Sabon" w:hAnsi="Sabon"/>
          <w:sz w:val="22"/>
          <w:szCs w:val="22"/>
        </w:rPr>
        <w:t>The government is well aware that the programme now needs tightening in order to maintain the quality of the brand.</w:t>
      </w:r>
    </w:p>
    <w:p w:rsidR="00BC3E14" w:rsidRPr="00850965" w:rsidRDefault="00BC3E14" w:rsidP="00BC3E14">
      <w:pPr>
        <w:pStyle w:val="NormalWeb"/>
        <w:spacing w:line="276" w:lineRule="auto"/>
        <w:rPr>
          <w:rFonts w:ascii="Sabon" w:hAnsi="Sabon"/>
          <w:snapToGrid/>
          <w:sz w:val="22"/>
          <w:szCs w:val="22"/>
          <w:lang w:eastAsia="en-GB"/>
        </w:rPr>
      </w:pPr>
    </w:p>
    <w:p w:rsidR="001C4AF9" w:rsidRDefault="001C4AF9" w:rsidP="001C4AF9">
      <w:pPr>
        <w:pStyle w:val="NormalWeb"/>
        <w:spacing w:line="276" w:lineRule="auto"/>
        <w:rPr>
          <w:rFonts w:ascii="Sabon" w:hAnsi="Sabon"/>
          <w:sz w:val="22"/>
          <w:szCs w:val="22"/>
        </w:rPr>
      </w:pPr>
      <w:r>
        <w:rPr>
          <w:rFonts w:ascii="Sabon" w:hAnsi="Sabon"/>
          <w:sz w:val="22"/>
          <w:szCs w:val="22"/>
        </w:rPr>
        <w:t xml:space="preserve">The TUC has strongly supported the revival of the apprenticeship </w:t>
      </w:r>
      <w:r w:rsidR="007041A3">
        <w:rPr>
          <w:rFonts w:ascii="Sabon" w:hAnsi="Sabon"/>
          <w:sz w:val="22"/>
          <w:szCs w:val="22"/>
        </w:rPr>
        <w:t>model</w:t>
      </w:r>
      <w:r>
        <w:rPr>
          <w:rFonts w:ascii="Sabon" w:hAnsi="Sabon"/>
          <w:sz w:val="22"/>
          <w:szCs w:val="22"/>
        </w:rPr>
        <w:t xml:space="preserve"> over the past decade. However, we have always argued for high </w:t>
      </w:r>
      <w:r w:rsidR="007041A3">
        <w:rPr>
          <w:rFonts w:ascii="Sabon" w:hAnsi="Sabon"/>
          <w:sz w:val="22"/>
          <w:szCs w:val="22"/>
        </w:rPr>
        <w:t>quality</w:t>
      </w:r>
      <w:r>
        <w:rPr>
          <w:rFonts w:ascii="Sabon" w:hAnsi="Sabon"/>
          <w:sz w:val="22"/>
          <w:szCs w:val="22"/>
        </w:rPr>
        <w:t xml:space="preserve"> </w:t>
      </w:r>
      <w:r w:rsidR="007041A3">
        <w:rPr>
          <w:rFonts w:ascii="Sabon" w:hAnsi="Sabon"/>
          <w:sz w:val="22"/>
          <w:szCs w:val="22"/>
        </w:rPr>
        <w:t>apprenticeships</w:t>
      </w:r>
      <w:r>
        <w:rPr>
          <w:rFonts w:ascii="Sabon" w:hAnsi="Sabon"/>
          <w:sz w:val="22"/>
          <w:szCs w:val="22"/>
        </w:rPr>
        <w:t xml:space="preserve"> that are </w:t>
      </w:r>
      <w:r w:rsidR="007041A3">
        <w:rPr>
          <w:rFonts w:ascii="Sabon" w:hAnsi="Sabon"/>
          <w:sz w:val="22"/>
          <w:szCs w:val="22"/>
        </w:rPr>
        <w:t>paid</w:t>
      </w:r>
      <w:r>
        <w:rPr>
          <w:rFonts w:ascii="Sabon" w:hAnsi="Sabon"/>
          <w:sz w:val="22"/>
          <w:szCs w:val="22"/>
        </w:rPr>
        <w:t xml:space="preserve"> </w:t>
      </w:r>
      <w:r w:rsidR="007041A3">
        <w:rPr>
          <w:rFonts w:ascii="Sabon" w:hAnsi="Sabon"/>
          <w:sz w:val="22"/>
          <w:szCs w:val="22"/>
        </w:rPr>
        <w:t>fairly</w:t>
      </w:r>
      <w:r w:rsidR="000D0FCD">
        <w:rPr>
          <w:rFonts w:ascii="Sabon" w:hAnsi="Sabon"/>
          <w:sz w:val="22"/>
          <w:szCs w:val="22"/>
        </w:rPr>
        <w:t xml:space="preserve">, which has implications for the LPC’s current review. </w:t>
      </w:r>
    </w:p>
    <w:p w:rsidR="001C4AF9" w:rsidRDefault="001C4AF9" w:rsidP="001C4AF9">
      <w:pPr>
        <w:pStyle w:val="NormalWeb"/>
        <w:spacing w:line="276" w:lineRule="auto"/>
        <w:rPr>
          <w:rFonts w:ascii="Sabon" w:hAnsi="Sabon"/>
          <w:sz w:val="22"/>
          <w:szCs w:val="22"/>
        </w:rPr>
      </w:pPr>
    </w:p>
    <w:p w:rsidR="003002DF" w:rsidRDefault="003002DF" w:rsidP="001C4AF9">
      <w:pPr>
        <w:pStyle w:val="NormalWeb"/>
        <w:spacing w:line="276" w:lineRule="auto"/>
        <w:rPr>
          <w:rFonts w:ascii="Sabon" w:hAnsi="Sabon"/>
          <w:sz w:val="22"/>
          <w:szCs w:val="22"/>
        </w:rPr>
      </w:pPr>
      <w:r>
        <w:rPr>
          <w:rFonts w:ascii="Sabon" w:hAnsi="Sabon"/>
          <w:sz w:val="22"/>
          <w:szCs w:val="22"/>
        </w:rPr>
        <w:t xml:space="preserve">As the table </w:t>
      </w:r>
      <w:r w:rsidR="007041A3">
        <w:rPr>
          <w:rFonts w:ascii="Sabon" w:hAnsi="Sabon"/>
          <w:sz w:val="22"/>
          <w:szCs w:val="22"/>
        </w:rPr>
        <w:t>below</w:t>
      </w:r>
      <w:r>
        <w:rPr>
          <w:rFonts w:ascii="Sabon" w:hAnsi="Sabon"/>
          <w:sz w:val="22"/>
          <w:szCs w:val="22"/>
        </w:rPr>
        <w:t xml:space="preserve"> shows, the number of apprentices has increased by 30 per </w:t>
      </w:r>
      <w:r w:rsidR="007041A3">
        <w:rPr>
          <w:rFonts w:ascii="Sabon" w:hAnsi="Sabon"/>
          <w:sz w:val="22"/>
          <w:szCs w:val="22"/>
        </w:rPr>
        <w:t>cent</w:t>
      </w:r>
      <w:r>
        <w:rPr>
          <w:rFonts w:ascii="Sabon" w:hAnsi="Sabon"/>
          <w:sz w:val="22"/>
          <w:szCs w:val="22"/>
        </w:rPr>
        <w:t xml:space="preserve"> since the apprentice rate was </w:t>
      </w:r>
      <w:r w:rsidR="007041A3">
        <w:rPr>
          <w:rFonts w:ascii="Sabon" w:hAnsi="Sabon"/>
          <w:sz w:val="22"/>
          <w:szCs w:val="22"/>
        </w:rPr>
        <w:t>first</w:t>
      </w:r>
      <w:r>
        <w:rPr>
          <w:rFonts w:ascii="Sabon" w:hAnsi="Sabon"/>
          <w:sz w:val="22"/>
          <w:szCs w:val="22"/>
        </w:rPr>
        <w:t xml:space="preserve"> introduced in 2010. </w:t>
      </w:r>
      <w:r w:rsidR="007041A3">
        <w:rPr>
          <w:rFonts w:ascii="Sabon" w:hAnsi="Sabon"/>
          <w:sz w:val="22"/>
          <w:szCs w:val="22"/>
        </w:rPr>
        <w:t xml:space="preserve">The TUC’s focus of concern has </w:t>
      </w:r>
      <w:r w:rsidR="000D0FCD">
        <w:rPr>
          <w:rFonts w:ascii="Sabon" w:hAnsi="Sabon"/>
          <w:sz w:val="22"/>
          <w:szCs w:val="22"/>
        </w:rPr>
        <w:t xml:space="preserve">thus </w:t>
      </w:r>
      <w:r w:rsidR="007041A3">
        <w:rPr>
          <w:rFonts w:ascii="Sabon" w:hAnsi="Sabon"/>
          <w:sz w:val="22"/>
          <w:szCs w:val="22"/>
        </w:rPr>
        <w:t xml:space="preserve">moved sharply </w:t>
      </w:r>
      <w:r w:rsidR="000D0FCD">
        <w:rPr>
          <w:rFonts w:ascii="Sabon" w:hAnsi="Sabon"/>
          <w:sz w:val="22"/>
          <w:szCs w:val="22"/>
        </w:rPr>
        <w:t xml:space="preserve">from </w:t>
      </w:r>
      <w:r w:rsidR="002C2E7C">
        <w:rPr>
          <w:rFonts w:ascii="Sabon" w:hAnsi="Sabon"/>
          <w:sz w:val="22"/>
          <w:szCs w:val="22"/>
        </w:rPr>
        <w:t xml:space="preserve">simply </w:t>
      </w:r>
      <w:r w:rsidR="000D0FCD">
        <w:rPr>
          <w:rFonts w:ascii="Sabon" w:hAnsi="Sabon"/>
          <w:sz w:val="22"/>
          <w:szCs w:val="22"/>
        </w:rPr>
        <w:t xml:space="preserve">arguing for the introduction of apprentices rates </w:t>
      </w:r>
      <w:r w:rsidR="007041A3">
        <w:rPr>
          <w:rFonts w:ascii="Sabon" w:hAnsi="Sabon"/>
          <w:sz w:val="22"/>
          <w:szCs w:val="22"/>
        </w:rPr>
        <w:t xml:space="preserve">towards </w:t>
      </w:r>
      <w:r w:rsidR="002C2E7C">
        <w:rPr>
          <w:rFonts w:ascii="Sabon" w:hAnsi="Sabon"/>
          <w:sz w:val="22"/>
          <w:szCs w:val="22"/>
        </w:rPr>
        <w:t xml:space="preserve">considering </w:t>
      </w:r>
      <w:r w:rsidR="007041A3">
        <w:rPr>
          <w:rFonts w:ascii="Sabon" w:hAnsi="Sabon"/>
          <w:sz w:val="22"/>
          <w:szCs w:val="22"/>
        </w:rPr>
        <w:t xml:space="preserve">whether the rates are too modest, with a significant minority of employers not content with drawing down government funding for training </w:t>
      </w:r>
      <w:r w:rsidR="002C2E7C">
        <w:rPr>
          <w:rFonts w:ascii="Sabon" w:hAnsi="Sabon"/>
          <w:sz w:val="22"/>
          <w:szCs w:val="22"/>
        </w:rPr>
        <w:t xml:space="preserve">apprentices </w:t>
      </w:r>
      <w:r w:rsidR="000D0FCD">
        <w:rPr>
          <w:rFonts w:ascii="Sabon" w:hAnsi="Sabon"/>
          <w:sz w:val="22"/>
          <w:szCs w:val="22"/>
        </w:rPr>
        <w:t>(</w:t>
      </w:r>
      <w:r w:rsidR="007041A3">
        <w:rPr>
          <w:rFonts w:ascii="Sabon" w:hAnsi="Sabon"/>
          <w:sz w:val="22"/>
          <w:szCs w:val="22"/>
        </w:rPr>
        <w:t>and having the programme largely managed for them</w:t>
      </w:r>
      <w:r w:rsidR="000D0FCD">
        <w:rPr>
          <w:rFonts w:ascii="Sabon" w:hAnsi="Sabon"/>
          <w:sz w:val="22"/>
          <w:szCs w:val="22"/>
        </w:rPr>
        <w:t>)</w:t>
      </w:r>
      <w:r w:rsidR="007041A3">
        <w:rPr>
          <w:rFonts w:ascii="Sabon" w:hAnsi="Sabon"/>
          <w:sz w:val="22"/>
          <w:szCs w:val="22"/>
        </w:rPr>
        <w:t xml:space="preserve"> but also seeking to use apprenticeships to undercut the general rates of the national minimum wage. </w:t>
      </w:r>
    </w:p>
    <w:p w:rsidR="00ED04F6" w:rsidRDefault="00ED04F6" w:rsidP="001C4AF9">
      <w:pPr>
        <w:pStyle w:val="NormalWeb"/>
        <w:spacing w:line="276" w:lineRule="auto"/>
        <w:rPr>
          <w:rFonts w:ascii="Sabon" w:hAnsi="Sabon"/>
          <w:sz w:val="22"/>
          <w:szCs w:val="22"/>
        </w:rPr>
      </w:pPr>
    </w:p>
    <w:p w:rsidR="00ED04F6" w:rsidRDefault="00ED04F6" w:rsidP="001C4AF9">
      <w:pPr>
        <w:pStyle w:val="NormalWeb"/>
        <w:spacing w:line="276" w:lineRule="auto"/>
        <w:rPr>
          <w:rFonts w:ascii="Sabon" w:hAnsi="Sabon"/>
          <w:sz w:val="22"/>
          <w:szCs w:val="22"/>
        </w:rPr>
      </w:pPr>
      <w:r>
        <w:rPr>
          <w:rFonts w:ascii="Sabon" w:hAnsi="Sabon"/>
          <w:sz w:val="22"/>
          <w:szCs w:val="22"/>
        </w:rPr>
        <w:t xml:space="preserve">When the apprentice rate was introduced it extended some protection to most apprentices for the </w:t>
      </w:r>
      <w:r w:rsidR="000D0FCD">
        <w:rPr>
          <w:rFonts w:ascii="Sabon" w:hAnsi="Sabon"/>
          <w:sz w:val="22"/>
          <w:szCs w:val="22"/>
        </w:rPr>
        <w:t>first</w:t>
      </w:r>
      <w:r>
        <w:rPr>
          <w:rFonts w:ascii="Sabon" w:hAnsi="Sabon"/>
          <w:sz w:val="22"/>
          <w:szCs w:val="22"/>
        </w:rPr>
        <w:t xml:space="preserve"> </w:t>
      </w:r>
      <w:r w:rsidR="007041A3">
        <w:rPr>
          <w:rFonts w:ascii="Sabon" w:hAnsi="Sabon"/>
          <w:sz w:val="22"/>
          <w:szCs w:val="22"/>
        </w:rPr>
        <w:t>time</w:t>
      </w:r>
      <w:r>
        <w:rPr>
          <w:rFonts w:ascii="Sabon" w:hAnsi="Sabon"/>
          <w:sz w:val="22"/>
          <w:szCs w:val="22"/>
        </w:rPr>
        <w:t xml:space="preserve">. In the </w:t>
      </w:r>
      <w:r w:rsidR="007041A3">
        <w:rPr>
          <w:rFonts w:ascii="Sabon" w:hAnsi="Sabon"/>
          <w:sz w:val="22"/>
          <w:szCs w:val="22"/>
        </w:rPr>
        <w:t>first</w:t>
      </w:r>
      <w:r>
        <w:rPr>
          <w:rFonts w:ascii="Sabon" w:hAnsi="Sabon"/>
          <w:sz w:val="22"/>
          <w:szCs w:val="22"/>
        </w:rPr>
        <w:t xml:space="preserve"> year afterwards, the </w:t>
      </w:r>
      <w:r w:rsidR="007041A3">
        <w:rPr>
          <w:rFonts w:ascii="Sabon" w:hAnsi="Sabon"/>
          <w:sz w:val="22"/>
          <w:szCs w:val="22"/>
        </w:rPr>
        <w:t>number</w:t>
      </w:r>
      <w:r>
        <w:rPr>
          <w:rFonts w:ascii="Sabon" w:hAnsi="Sabon"/>
          <w:sz w:val="22"/>
          <w:szCs w:val="22"/>
        </w:rPr>
        <w:t xml:space="preserve"> </w:t>
      </w:r>
      <w:r w:rsidR="007041A3">
        <w:rPr>
          <w:rFonts w:ascii="Sabon" w:hAnsi="Sabon"/>
          <w:sz w:val="22"/>
          <w:szCs w:val="22"/>
        </w:rPr>
        <w:t>of</w:t>
      </w:r>
      <w:r>
        <w:rPr>
          <w:rFonts w:ascii="Sabon" w:hAnsi="Sabon"/>
          <w:sz w:val="22"/>
          <w:szCs w:val="22"/>
        </w:rPr>
        <w:t xml:space="preserve"> </w:t>
      </w:r>
      <w:r w:rsidR="007041A3">
        <w:rPr>
          <w:rFonts w:ascii="Sabon" w:hAnsi="Sabon"/>
          <w:sz w:val="22"/>
          <w:szCs w:val="22"/>
        </w:rPr>
        <w:t>apprentices</w:t>
      </w:r>
      <w:r>
        <w:rPr>
          <w:rFonts w:ascii="Sabon" w:hAnsi="Sabon"/>
          <w:sz w:val="22"/>
          <w:szCs w:val="22"/>
        </w:rPr>
        <w:t xml:space="preserve"> rose by 35.6 per </w:t>
      </w:r>
      <w:r w:rsidR="007041A3">
        <w:rPr>
          <w:rFonts w:ascii="Sabon" w:hAnsi="Sabon"/>
          <w:sz w:val="22"/>
          <w:szCs w:val="22"/>
        </w:rPr>
        <w:t>cent</w:t>
      </w:r>
      <w:r w:rsidR="000D0FCD">
        <w:rPr>
          <w:rFonts w:ascii="Sabon" w:hAnsi="Sabon"/>
          <w:sz w:val="22"/>
          <w:szCs w:val="22"/>
        </w:rPr>
        <w:t xml:space="preserve">, demonstrating that the new rate was </w:t>
      </w:r>
      <w:r w:rsidR="00565443">
        <w:rPr>
          <w:rFonts w:ascii="Sabon" w:hAnsi="Sabon"/>
          <w:sz w:val="22"/>
          <w:szCs w:val="22"/>
        </w:rPr>
        <w:t xml:space="preserve">very </w:t>
      </w:r>
      <w:r w:rsidR="000D0FCD">
        <w:rPr>
          <w:rFonts w:ascii="Sabon" w:hAnsi="Sabon"/>
          <w:sz w:val="22"/>
          <w:szCs w:val="22"/>
        </w:rPr>
        <w:t>far from a brake on apprenticeship creation</w:t>
      </w:r>
      <w:r>
        <w:rPr>
          <w:rFonts w:ascii="Sabon" w:hAnsi="Sabon"/>
          <w:sz w:val="22"/>
          <w:szCs w:val="22"/>
        </w:rPr>
        <w:t xml:space="preserve">. </w:t>
      </w:r>
      <w:r w:rsidR="000D0FCD">
        <w:rPr>
          <w:rFonts w:ascii="Sabon" w:hAnsi="Sabon"/>
          <w:sz w:val="22"/>
          <w:szCs w:val="22"/>
        </w:rPr>
        <w:t>M</w:t>
      </w:r>
      <w:r>
        <w:rPr>
          <w:rFonts w:ascii="Sabon" w:hAnsi="Sabon"/>
          <w:sz w:val="22"/>
          <w:szCs w:val="22"/>
        </w:rPr>
        <w:t xml:space="preserve">any employers value </w:t>
      </w:r>
      <w:r w:rsidR="007041A3">
        <w:rPr>
          <w:rFonts w:ascii="Sabon" w:hAnsi="Sabon"/>
          <w:sz w:val="22"/>
          <w:szCs w:val="22"/>
        </w:rPr>
        <w:t>apprentices</w:t>
      </w:r>
      <w:r>
        <w:rPr>
          <w:rFonts w:ascii="Sabon" w:hAnsi="Sabon"/>
          <w:sz w:val="22"/>
          <w:szCs w:val="22"/>
        </w:rPr>
        <w:t xml:space="preserve"> and there is a real danger that low </w:t>
      </w:r>
      <w:r w:rsidR="007041A3">
        <w:rPr>
          <w:rFonts w:ascii="Sabon" w:hAnsi="Sabon"/>
          <w:sz w:val="22"/>
          <w:szCs w:val="22"/>
        </w:rPr>
        <w:t>minimum</w:t>
      </w:r>
      <w:r>
        <w:rPr>
          <w:rFonts w:ascii="Sabon" w:hAnsi="Sabon"/>
          <w:sz w:val="22"/>
          <w:szCs w:val="22"/>
        </w:rPr>
        <w:t xml:space="preserve"> wage </w:t>
      </w:r>
      <w:r w:rsidR="007041A3">
        <w:rPr>
          <w:rFonts w:ascii="Sabon" w:hAnsi="Sabon"/>
          <w:sz w:val="22"/>
          <w:szCs w:val="22"/>
        </w:rPr>
        <w:t>rates</w:t>
      </w:r>
      <w:r>
        <w:rPr>
          <w:rFonts w:ascii="Sabon" w:hAnsi="Sabon"/>
          <w:sz w:val="22"/>
          <w:szCs w:val="22"/>
        </w:rPr>
        <w:t xml:space="preserve"> may be setting a sub-</w:t>
      </w:r>
      <w:r w:rsidR="000D0FCD">
        <w:rPr>
          <w:rFonts w:ascii="Sabon" w:hAnsi="Sabon"/>
          <w:sz w:val="22"/>
          <w:szCs w:val="22"/>
        </w:rPr>
        <w:t xml:space="preserve">optimal </w:t>
      </w:r>
      <w:r>
        <w:rPr>
          <w:rFonts w:ascii="Sabon" w:hAnsi="Sabon"/>
          <w:sz w:val="22"/>
          <w:szCs w:val="22"/>
        </w:rPr>
        <w:t xml:space="preserve">low pay norm. </w:t>
      </w:r>
    </w:p>
    <w:p w:rsidR="003002DF" w:rsidRDefault="003002DF" w:rsidP="001C4AF9">
      <w:pPr>
        <w:pStyle w:val="NormalWeb"/>
        <w:spacing w:line="276" w:lineRule="auto"/>
        <w:rPr>
          <w:rFonts w:ascii="Sabon" w:hAnsi="Sabon"/>
          <w:sz w:val="22"/>
          <w:szCs w:val="22"/>
        </w:rPr>
      </w:pPr>
    </w:p>
    <w:p w:rsidR="001659EC" w:rsidRPr="00DE43C1" w:rsidRDefault="001659EC" w:rsidP="001C4AF9">
      <w:pPr>
        <w:pStyle w:val="NormalWeb"/>
        <w:spacing w:line="276" w:lineRule="auto"/>
        <w:rPr>
          <w:rFonts w:ascii="Frutiger 55" w:hAnsi="Frutiger 55"/>
          <w:b/>
          <w:i/>
          <w:sz w:val="22"/>
          <w:szCs w:val="22"/>
        </w:rPr>
      </w:pPr>
      <w:r w:rsidRPr="00DE43C1">
        <w:rPr>
          <w:rFonts w:ascii="Frutiger 55" w:hAnsi="Frutiger 55"/>
          <w:b/>
          <w:i/>
          <w:sz w:val="22"/>
          <w:szCs w:val="22"/>
        </w:rPr>
        <w:t xml:space="preserve">Total </w:t>
      </w:r>
      <w:r w:rsidR="00DE43C1" w:rsidRPr="00DE43C1">
        <w:rPr>
          <w:rFonts w:ascii="Frutiger 55" w:hAnsi="Frutiger 55"/>
          <w:b/>
          <w:i/>
          <w:sz w:val="22"/>
          <w:szCs w:val="22"/>
        </w:rPr>
        <w:t xml:space="preserve">funded </w:t>
      </w:r>
      <w:r w:rsidRPr="00DE43C1">
        <w:rPr>
          <w:rFonts w:ascii="Frutiger 55" w:hAnsi="Frutiger 55"/>
          <w:b/>
          <w:i/>
          <w:sz w:val="22"/>
          <w:szCs w:val="22"/>
        </w:rPr>
        <w:t>apprenticeships 2008/9-2012/13 (</w:t>
      </w:r>
      <w:r w:rsidR="00DE43C1" w:rsidRPr="00DE43C1">
        <w:rPr>
          <w:rFonts w:ascii="Frutiger 55" w:hAnsi="Frutiger 55"/>
          <w:b/>
          <w:i/>
          <w:sz w:val="22"/>
          <w:szCs w:val="22"/>
        </w:rPr>
        <w:t>whole year participation -</w:t>
      </w:r>
      <w:r w:rsidR="007041A3" w:rsidRPr="00DE43C1">
        <w:rPr>
          <w:rFonts w:ascii="Frutiger 55" w:hAnsi="Frutiger 55"/>
          <w:b/>
          <w:i/>
          <w:sz w:val="22"/>
          <w:szCs w:val="22"/>
        </w:rPr>
        <w:t>thousands</w:t>
      </w:r>
      <w:r w:rsidRPr="00DE43C1">
        <w:rPr>
          <w:rFonts w:ascii="Frutiger 55" w:hAnsi="Frutiger 55"/>
          <w:b/>
          <w:i/>
          <w:sz w:val="22"/>
          <w:szCs w:val="22"/>
        </w:rPr>
        <w:t>)</w:t>
      </w:r>
    </w:p>
    <w:tbl>
      <w:tblPr>
        <w:tblStyle w:val="TableGrid"/>
        <w:tblW w:w="0" w:type="auto"/>
        <w:tblLayout w:type="fixed"/>
        <w:tblLook w:val="04A0"/>
      </w:tblPr>
      <w:tblGrid>
        <w:gridCol w:w="1589"/>
        <w:gridCol w:w="1599"/>
        <w:gridCol w:w="1589"/>
        <w:gridCol w:w="1285"/>
        <w:gridCol w:w="1701"/>
      </w:tblGrid>
      <w:tr w:rsidR="001659EC" w:rsidTr="00565443">
        <w:tc>
          <w:tcPr>
            <w:tcW w:w="1589" w:type="dxa"/>
          </w:tcPr>
          <w:p w:rsidR="001659EC" w:rsidRPr="001659EC" w:rsidRDefault="001659EC" w:rsidP="00DE43C1">
            <w:pPr>
              <w:pStyle w:val="T5TextBody"/>
              <w:spacing w:line="240" w:lineRule="auto"/>
            </w:pPr>
          </w:p>
        </w:tc>
        <w:tc>
          <w:tcPr>
            <w:tcW w:w="1599" w:type="dxa"/>
          </w:tcPr>
          <w:p w:rsidR="00BF58AC" w:rsidRDefault="00C23B98">
            <w:pPr>
              <w:pStyle w:val="T5TextBody"/>
              <w:spacing w:line="240" w:lineRule="auto"/>
              <w:jc w:val="center"/>
              <w:rPr>
                <w:b/>
              </w:rPr>
            </w:pPr>
            <w:r w:rsidRPr="00C23B98">
              <w:rPr>
                <w:b/>
              </w:rPr>
              <w:t>Intermediate</w:t>
            </w:r>
          </w:p>
        </w:tc>
        <w:tc>
          <w:tcPr>
            <w:tcW w:w="1589" w:type="dxa"/>
          </w:tcPr>
          <w:p w:rsidR="00BF58AC" w:rsidRDefault="00C23B98">
            <w:pPr>
              <w:pStyle w:val="T5TextBody"/>
              <w:spacing w:line="240" w:lineRule="auto"/>
              <w:jc w:val="center"/>
              <w:rPr>
                <w:b/>
              </w:rPr>
            </w:pPr>
            <w:r w:rsidRPr="00C23B98">
              <w:rPr>
                <w:b/>
              </w:rPr>
              <w:t>Advanced</w:t>
            </w:r>
          </w:p>
        </w:tc>
        <w:tc>
          <w:tcPr>
            <w:tcW w:w="1285" w:type="dxa"/>
          </w:tcPr>
          <w:p w:rsidR="00BF58AC" w:rsidRDefault="00C23B98">
            <w:pPr>
              <w:pStyle w:val="T5TextBody"/>
              <w:spacing w:line="240" w:lineRule="auto"/>
              <w:jc w:val="center"/>
              <w:rPr>
                <w:b/>
              </w:rPr>
            </w:pPr>
            <w:r w:rsidRPr="00C23B98">
              <w:rPr>
                <w:b/>
              </w:rPr>
              <w:t>Higher</w:t>
            </w:r>
          </w:p>
        </w:tc>
        <w:tc>
          <w:tcPr>
            <w:tcW w:w="1701" w:type="dxa"/>
          </w:tcPr>
          <w:p w:rsidR="00BF58AC" w:rsidRDefault="00C23B98">
            <w:pPr>
              <w:pStyle w:val="T5TextBody"/>
              <w:spacing w:line="240" w:lineRule="auto"/>
              <w:jc w:val="center"/>
              <w:rPr>
                <w:b/>
              </w:rPr>
            </w:pPr>
            <w:r w:rsidRPr="00C23B98">
              <w:rPr>
                <w:b/>
              </w:rPr>
              <w:t>All apprenticeships</w:t>
            </w:r>
          </w:p>
        </w:tc>
      </w:tr>
      <w:tr w:rsidR="001659EC" w:rsidTr="00565443">
        <w:tc>
          <w:tcPr>
            <w:tcW w:w="1589" w:type="dxa"/>
          </w:tcPr>
          <w:p w:rsidR="001659EC" w:rsidRPr="000D0FCD" w:rsidRDefault="00C23B98" w:rsidP="00DE43C1">
            <w:pPr>
              <w:pStyle w:val="T5TextBody"/>
              <w:spacing w:line="240" w:lineRule="auto"/>
              <w:rPr>
                <w:b/>
              </w:rPr>
            </w:pPr>
            <w:r w:rsidRPr="00C23B98">
              <w:rPr>
                <w:b/>
              </w:rPr>
              <w:t>2008/9</w:t>
            </w:r>
          </w:p>
        </w:tc>
        <w:tc>
          <w:tcPr>
            <w:tcW w:w="1599" w:type="dxa"/>
          </w:tcPr>
          <w:p w:rsidR="00BF58AC" w:rsidRDefault="001659EC">
            <w:pPr>
              <w:pStyle w:val="T5TextBody"/>
              <w:spacing w:line="240" w:lineRule="auto"/>
              <w:jc w:val="center"/>
            </w:pPr>
            <w:r>
              <w:t>274</w:t>
            </w:r>
          </w:p>
        </w:tc>
        <w:tc>
          <w:tcPr>
            <w:tcW w:w="1589" w:type="dxa"/>
          </w:tcPr>
          <w:p w:rsidR="00BF58AC" w:rsidRDefault="001659EC">
            <w:pPr>
              <w:pStyle w:val="T5TextBody"/>
              <w:spacing w:line="240" w:lineRule="auto"/>
              <w:jc w:val="center"/>
            </w:pPr>
            <w:r>
              <w:t>171</w:t>
            </w:r>
          </w:p>
        </w:tc>
        <w:tc>
          <w:tcPr>
            <w:tcW w:w="1285" w:type="dxa"/>
          </w:tcPr>
          <w:p w:rsidR="00BF58AC" w:rsidRDefault="007041A3">
            <w:pPr>
              <w:pStyle w:val="T5TextBody"/>
              <w:spacing w:line="240" w:lineRule="auto"/>
              <w:jc w:val="center"/>
            </w:pPr>
            <w:r>
              <w:t>Less</w:t>
            </w:r>
            <w:r w:rsidR="001659EC">
              <w:t xml:space="preserve"> than 1</w:t>
            </w:r>
          </w:p>
        </w:tc>
        <w:tc>
          <w:tcPr>
            <w:tcW w:w="1701" w:type="dxa"/>
          </w:tcPr>
          <w:p w:rsidR="00BF58AC" w:rsidRDefault="001659EC">
            <w:pPr>
              <w:pStyle w:val="T5TextBody"/>
              <w:spacing w:line="240" w:lineRule="auto"/>
              <w:jc w:val="center"/>
            </w:pPr>
            <w:r>
              <w:t>445</w:t>
            </w:r>
          </w:p>
        </w:tc>
      </w:tr>
      <w:tr w:rsidR="001659EC" w:rsidTr="00565443">
        <w:tc>
          <w:tcPr>
            <w:tcW w:w="1589" w:type="dxa"/>
          </w:tcPr>
          <w:p w:rsidR="001659EC" w:rsidRPr="000D0FCD" w:rsidRDefault="00C23B98" w:rsidP="00DE43C1">
            <w:pPr>
              <w:pStyle w:val="T5TextBody"/>
              <w:spacing w:line="240" w:lineRule="auto"/>
              <w:rPr>
                <w:b/>
              </w:rPr>
            </w:pPr>
            <w:r w:rsidRPr="00C23B98">
              <w:rPr>
                <w:b/>
              </w:rPr>
              <w:t>2009/10</w:t>
            </w:r>
          </w:p>
        </w:tc>
        <w:tc>
          <w:tcPr>
            <w:tcW w:w="1599" w:type="dxa"/>
          </w:tcPr>
          <w:p w:rsidR="00BF58AC" w:rsidRDefault="001659EC">
            <w:pPr>
              <w:pStyle w:val="T5TextBody"/>
              <w:spacing w:line="240" w:lineRule="auto"/>
              <w:jc w:val="center"/>
            </w:pPr>
            <w:r>
              <w:t>304</w:t>
            </w:r>
          </w:p>
        </w:tc>
        <w:tc>
          <w:tcPr>
            <w:tcW w:w="1589" w:type="dxa"/>
          </w:tcPr>
          <w:p w:rsidR="00BF58AC" w:rsidRDefault="001659EC">
            <w:pPr>
              <w:pStyle w:val="T5TextBody"/>
              <w:spacing w:line="240" w:lineRule="auto"/>
              <w:jc w:val="center"/>
            </w:pPr>
            <w:r>
              <w:t>185</w:t>
            </w:r>
          </w:p>
        </w:tc>
        <w:tc>
          <w:tcPr>
            <w:tcW w:w="1285" w:type="dxa"/>
          </w:tcPr>
          <w:p w:rsidR="00BF58AC" w:rsidRDefault="001659EC">
            <w:pPr>
              <w:pStyle w:val="T5TextBody"/>
              <w:spacing w:line="240" w:lineRule="auto"/>
              <w:jc w:val="center"/>
            </w:pPr>
            <w:r>
              <w:t>2</w:t>
            </w:r>
          </w:p>
        </w:tc>
        <w:tc>
          <w:tcPr>
            <w:tcW w:w="1701" w:type="dxa"/>
          </w:tcPr>
          <w:p w:rsidR="00BF58AC" w:rsidRDefault="001659EC">
            <w:pPr>
              <w:pStyle w:val="T5TextBody"/>
              <w:spacing w:line="240" w:lineRule="auto"/>
              <w:jc w:val="center"/>
            </w:pPr>
            <w:r>
              <w:t>491</w:t>
            </w:r>
          </w:p>
        </w:tc>
      </w:tr>
      <w:tr w:rsidR="001659EC" w:rsidTr="00565443">
        <w:tc>
          <w:tcPr>
            <w:tcW w:w="1589" w:type="dxa"/>
          </w:tcPr>
          <w:p w:rsidR="001659EC" w:rsidRPr="000D0FCD" w:rsidRDefault="00C23B98" w:rsidP="00DE43C1">
            <w:pPr>
              <w:pStyle w:val="T5TextBody"/>
              <w:spacing w:line="240" w:lineRule="auto"/>
              <w:rPr>
                <w:b/>
              </w:rPr>
            </w:pPr>
            <w:r w:rsidRPr="00C23B98">
              <w:rPr>
                <w:b/>
              </w:rPr>
              <w:t>20010/11</w:t>
            </w:r>
          </w:p>
        </w:tc>
        <w:tc>
          <w:tcPr>
            <w:tcW w:w="1599" w:type="dxa"/>
          </w:tcPr>
          <w:p w:rsidR="00BF58AC" w:rsidRDefault="001659EC">
            <w:pPr>
              <w:pStyle w:val="T5TextBody"/>
              <w:spacing w:line="240" w:lineRule="auto"/>
              <w:jc w:val="center"/>
            </w:pPr>
            <w:r>
              <w:t>415</w:t>
            </w:r>
          </w:p>
        </w:tc>
        <w:tc>
          <w:tcPr>
            <w:tcW w:w="1589" w:type="dxa"/>
          </w:tcPr>
          <w:p w:rsidR="00BF58AC" w:rsidRDefault="001659EC">
            <w:pPr>
              <w:pStyle w:val="T5TextBody"/>
              <w:spacing w:line="240" w:lineRule="auto"/>
              <w:jc w:val="center"/>
            </w:pPr>
            <w:r>
              <w:t>247</w:t>
            </w:r>
          </w:p>
        </w:tc>
        <w:tc>
          <w:tcPr>
            <w:tcW w:w="1285" w:type="dxa"/>
          </w:tcPr>
          <w:p w:rsidR="00BF58AC" w:rsidRDefault="001659EC">
            <w:pPr>
              <w:pStyle w:val="T5TextBody"/>
              <w:spacing w:line="240" w:lineRule="auto"/>
              <w:jc w:val="center"/>
            </w:pPr>
            <w:r>
              <w:t>3</w:t>
            </w:r>
          </w:p>
        </w:tc>
        <w:tc>
          <w:tcPr>
            <w:tcW w:w="1701" w:type="dxa"/>
          </w:tcPr>
          <w:p w:rsidR="00BF58AC" w:rsidRDefault="001659EC">
            <w:pPr>
              <w:pStyle w:val="T5TextBody"/>
              <w:spacing w:line="240" w:lineRule="auto"/>
              <w:jc w:val="center"/>
            </w:pPr>
            <w:r>
              <w:t>666</w:t>
            </w:r>
          </w:p>
        </w:tc>
      </w:tr>
      <w:tr w:rsidR="001659EC" w:rsidTr="00565443">
        <w:tc>
          <w:tcPr>
            <w:tcW w:w="1589" w:type="dxa"/>
          </w:tcPr>
          <w:p w:rsidR="001659EC" w:rsidRPr="000D0FCD" w:rsidRDefault="00C23B98" w:rsidP="00DE43C1">
            <w:pPr>
              <w:pStyle w:val="T5TextBody"/>
              <w:spacing w:line="240" w:lineRule="auto"/>
              <w:rPr>
                <w:b/>
              </w:rPr>
            </w:pPr>
            <w:r w:rsidRPr="00C23B98">
              <w:rPr>
                <w:b/>
              </w:rPr>
              <w:t>2011/12</w:t>
            </w:r>
          </w:p>
        </w:tc>
        <w:tc>
          <w:tcPr>
            <w:tcW w:w="1599" w:type="dxa"/>
          </w:tcPr>
          <w:p w:rsidR="00BF58AC" w:rsidRDefault="001659EC">
            <w:pPr>
              <w:pStyle w:val="T5TextBody"/>
              <w:spacing w:line="240" w:lineRule="auto"/>
              <w:jc w:val="center"/>
            </w:pPr>
            <w:r>
              <w:t>506</w:t>
            </w:r>
          </w:p>
        </w:tc>
        <w:tc>
          <w:tcPr>
            <w:tcW w:w="1589" w:type="dxa"/>
          </w:tcPr>
          <w:p w:rsidR="00BF58AC" w:rsidRDefault="001659EC">
            <w:pPr>
              <w:pStyle w:val="T5TextBody"/>
              <w:spacing w:line="240" w:lineRule="auto"/>
              <w:jc w:val="center"/>
            </w:pPr>
            <w:r>
              <w:t>317</w:t>
            </w:r>
          </w:p>
        </w:tc>
        <w:tc>
          <w:tcPr>
            <w:tcW w:w="1285" w:type="dxa"/>
          </w:tcPr>
          <w:p w:rsidR="00BF58AC" w:rsidRDefault="001659EC">
            <w:pPr>
              <w:pStyle w:val="T5TextBody"/>
              <w:spacing w:line="240" w:lineRule="auto"/>
              <w:jc w:val="center"/>
            </w:pPr>
            <w:r>
              <w:t>6</w:t>
            </w:r>
          </w:p>
        </w:tc>
        <w:tc>
          <w:tcPr>
            <w:tcW w:w="1701" w:type="dxa"/>
          </w:tcPr>
          <w:p w:rsidR="00BF58AC" w:rsidRDefault="001659EC">
            <w:pPr>
              <w:pStyle w:val="T5TextBody"/>
              <w:spacing w:line="240" w:lineRule="auto"/>
              <w:jc w:val="center"/>
            </w:pPr>
            <w:r>
              <w:t>806</w:t>
            </w:r>
          </w:p>
        </w:tc>
      </w:tr>
      <w:tr w:rsidR="001659EC" w:rsidTr="00565443">
        <w:tc>
          <w:tcPr>
            <w:tcW w:w="1589" w:type="dxa"/>
          </w:tcPr>
          <w:p w:rsidR="001659EC" w:rsidRPr="000D0FCD" w:rsidRDefault="00C23B98" w:rsidP="00DE43C1">
            <w:pPr>
              <w:pStyle w:val="T5TextBody"/>
              <w:spacing w:line="240" w:lineRule="auto"/>
              <w:rPr>
                <w:b/>
              </w:rPr>
            </w:pPr>
            <w:r w:rsidRPr="00C23B98">
              <w:rPr>
                <w:b/>
              </w:rPr>
              <w:t>2012/13</w:t>
            </w:r>
          </w:p>
        </w:tc>
        <w:tc>
          <w:tcPr>
            <w:tcW w:w="1599" w:type="dxa"/>
          </w:tcPr>
          <w:p w:rsidR="00BF58AC" w:rsidRDefault="001659EC">
            <w:pPr>
              <w:pStyle w:val="T5TextBody"/>
              <w:spacing w:line="240" w:lineRule="auto"/>
              <w:jc w:val="center"/>
            </w:pPr>
            <w:r>
              <w:t>502</w:t>
            </w:r>
          </w:p>
        </w:tc>
        <w:tc>
          <w:tcPr>
            <w:tcW w:w="1589" w:type="dxa"/>
          </w:tcPr>
          <w:p w:rsidR="00BF58AC" w:rsidRDefault="001659EC">
            <w:pPr>
              <w:pStyle w:val="T5TextBody"/>
              <w:spacing w:line="240" w:lineRule="auto"/>
              <w:jc w:val="center"/>
            </w:pPr>
            <w:r>
              <w:t>377</w:t>
            </w:r>
          </w:p>
        </w:tc>
        <w:tc>
          <w:tcPr>
            <w:tcW w:w="1285" w:type="dxa"/>
          </w:tcPr>
          <w:p w:rsidR="00BF58AC" w:rsidRDefault="001659EC">
            <w:pPr>
              <w:pStyle w:val="T5TextBody"/>
              <w:spacing w:line="240" w:lineRule="auto"/>
              <w:jc w:val="center"/>
            </w:pPr>
            <w:r>
              <w:t>13</w:t>
            </w:r>
          </w:p>
        </w:tc>
        <w:tc>
          <w:tcPr>
            <w:tcW w:w="1701" w:type="dxa"/>
          </w:tcPr>
          <w:p w:rsidR="00BF58AC" w:rsidRDefault="001659EC" w:rsidP="007B17B5">
            <w:pPr>
              <w:pStyle w:val="T5TextBody"/>
              <w:spacing w:line="240" w:lineRule="auto"/>
              <w:jc w:val="center"/>
            </w:pPr>
            <w:r>
              <w:t>86</w:t>
            </w:r>
            <w:r w:rsidR="007B17B5">
              <w:t>9</w:t>
            </w:r>
          </w:p>
        </w:tc>
      </w:tr>
    </w:tbl>
    <w:p w:rsidR="00DE43C1" w:rsidRPr="00DE43C1" w:rsidRDefault="007041A3" w:rsidP="0093010E">
      <w:pPr>
        <w:pStyle w:val="T5TextBody"/>
        <w:rPr>
          <w:b/>
          <w:sz w:val="18"/>
          <w:szCs w:val="18"/>
        </w:rPr>
      </w:pPr>
      <w:r w:rsidRPr="00DE43C1">
        <w:rPr>
          <w:sz w:val="18"/>
          <w:szCs w:val="18"/>
        </w:rPr>
        <w:t>Source</w:t>
      </w:r>
      <w:r w:rsidR="00DE43C1" w:rsidRPr="00DE43C1">
        <w:rPr>
          <w:sz w:val="18"/>
          <w:szCs w:val="18"/>
        </w:rPr>
        <w:t>: SFA/BIS</w:t>
      </w:r>
      <w:r w:rsidR="00DE43C1" w:rsidRPr="00DE43C1">
        <w:rPr>
          <w:b/>
          <w:sz w:val="18"/>
          <w:szCs w:val="18"/>
        </w:rPr>
        <w:t xml:space="preserve"> “</w:t>
      </w:r>
      <w:r w:rsidR="00DE43C1" w:rsidRPr="00DE43C1">
        <w:rPr>
          <w:sz w:val="18"/>
          <w:szCs w:val="18"/>
        </w:rPr>
        <w:t xml:space="preserve">Further education and skills: statistical first release”, </w:t>
      </w:r>
      <w:r w:rsidR="00DE43C1">
        <w:rPr>
          <w:sz w:val="18"/>
          <w:szCs w:val="18"/>
        </w:rPr>
        <w:t xml:space="preserve">updated June 2014, </w:t>
      </w:r>
      <w:r w:rsidR="00DE43C1" w:rsidRPr="00DE43C1">
        <w:rPr>
          <w:sz w:val="18"/>
          <w:szCs w:val="18"/>
        </w:rPr>
        <w:t>derived from table 5</w:t>
      </w:r>
      <w:r w:rsidR="00DE43C1">
        <w:rPr>
          <w:rStyle w:val="FootnoteReference"/>
          <w:szCs w:val="18"/>
        </w:rPr>
        <w:footnoteReference w:id="37"/>
      </w:r>
      <w:r w:rsidR="00DE43C1" w:rsidRPr="00DE43C1">
        <w:rPr>
          <w:sz w:val="18"/>
          <w:szCs w:val="18"/>
        </w:rPr>
        <w:t>.</w:t>
      </w:r>
    </w:p>
    <w:p w:rsidR="003002DF" w:rsidRPr="00E729F9" w:rsidRDefault="00741891" w:rsidP="00E729F9">
      <w:pPr>
        <w:pStyle w:val="T5TextBody"/>
        <w:spacing w:line="276" w:lineRule="auto"/>
        <w:rPr>
          <w:szCs w:val="22"/>
        </w:rPr>
      </w:pPr>
      <w:r w:rsidRPr="00E729F9">
        <w:rPr>
          <w:szCs w:val="22"/>
        </w:rPr>
        <w:t xml:space="preserve">Our view is that the </w:t>
      </w:r>
      <w:r w:rsidR="007041A3" w:rsidRPr="00E729F9">
        <w:rPr>
          <w:szCs w:val="22"/>
        </w:rPr>
        <w:t>minimum</w:t>
      </w:r>
      <w:r w:rsidRPr="00E729F9">
        <w:rPr>
          <w:szCs w:val="22"/>
        </w:rPr>
        <w:t xml:space="preserve"> wage regime for apprentices </w:t>
      </w:r>
      <w:r w:rsidR="007041A3" w:rsidRPr="00E729F9">
        <w:rPr>
          <w:szCs w:val="22"/>
        </w:rPr>
        <w:t>could</w:t>
      </w:r>
      <w:r w:rsidRPr="00E729F9">
        <w:rPr>
          <w:szCs w:val="22"/>
        </w:rPr>
        <w:t xml:space="preserve"> now be </w:t>
      </w:r>
      <w:r w:rsidR="007041A3" w:rsidRPr="00E729F9">
        <w:rPr>
          <w:szCs w:val="22"/>
        </w:rPr>
        <w:t>strengthened</w:t>
      </w:r>
      <w:r w:rsidRPr="00E729F9">
        <w:rPr>
          <w:szCs w:val="22"/>
        </w:rPr>
        <w:t xml:space="preserve"> and simplified.</w:t>
      </w:r>
      <w:r w:rsidR="00402A82">
        <w:rPr>
          <w:szCs w:val="22"/>
        </w:rPr>
        <w:t xml:space="preserve"> </w:t>
      </w:r>
    </w:p>
    <w:p w:rsidR="00741891" w:rsidRPr="00E729F9" w:rsidRDefault="007041A3" w:rsidP="00E729F9">
      <w:pPr>
        <w:pStyle w:val="T5TextBody"/>
        <w:spacing w:line="276" w:lineRule="auto"/>
        <w:rPr>
          <w:szCs w:val="22"/>
        </w:rPr>
      </w:pPr>
      <w:r w:rsidRPr="00E729F9">
        <w:rPr>
          <w:szCs w:val="22"/>
        </w:rPr>
        <w:t>First</w:t>
      </w:r>
      <w:r w:rsidR="00741891" w:rsidRPr="00E729F9">
        <w:rPr>
          <w:szCs w:val="22"/>
        </w:rPr>
        <w:t>, it is no</w:t>
      </w:r>
      <w:r w:rsidRPr="00E729F9">
        <w:rPr>
          <w:szCs w:val="22"/>
        </w:rPr>
        <w:t xml:space="preserve"> longer</w:t>
      </w:r>
      <w:r w:rsidR="00741891" w:rsidRPr="00E729F9">
        <w:rPr>
          <w:szCs w:val="22"/>
        </w:rPr>
        <w:t xml:space="preserve"> clear that </w:t>
      </w:r>
      <w:r w:rsidR="00741891" w:rsidRPr="00E729F9">
        <w:rPr>
          <w:i/>
          <w:szCs w:val="22"/>
        </w:rPr>
        <w:t>any</w:t>
      </w:r>
      <w:r w:rsidR="00741891" w:rsidRPr="00E729F9">
        <w:rPr>
          <w:szCs w:val="22"/>
        </w:rPr>
        <w:t xml:space="preserve"> </w:t>
      </w:r>
      <w:r w:rsidR="00EA1A17" w:rsidRPr="00E729F9">
        <w:rPr>
          <w:szCs w:val="22"/>
        </w:rPr>
        <w:t xml:space="preserve">rate below the general levels of the </w:t>
      </w:r>
      <w:r w:rsidR="00E11694" w:rsidRPr="00E729F9">
        <w:rPr>
          <w:szCs w:val="22"/>
        </w:rPr>
        <w:t>minimum</w:t>
      </w:r>
      <w:r w:rsidR="00EA1A17" w:rsidRPr="00E729F9">
        <w:rPr>
          <w:szCs w:val="22"/>
        </w:rPr>
        <w:t xml:space="preserve"> wage</w:t>
      </w:r>
      <w:r w:rsidR="00741891" w:rsidRPr="00E729F9">
        <w:rPr>
          <w:szCs w:val="22"/>
        </w:rPr>
        <w:t xml:space="preserve"> is </w:t>
      </w:r>
      <w:r w:rsidR="00821B5A" w:rsidRPr="00E729F9">
        <w:rPr>
          <w:szCs w:val="22"/>
        </w:rPr>
        <w:t xml:space="preserve">still </w:t>
      </w:r>
      <w:r w:rsidR="00741891" w:rsidRPr="00E729F9">
        <w:rPr>
          <w:szCs w:val="22"/>
        </w:rPr>
        <w:t xml:space="preserve">warranted for older </w:t>
      </w:r>
      <w:r w:rsidRPr="00E729F9">
        <w:rPr>
          <w:szCs w:val="22"/>
        </w:rPr>
        <w:t>apprentices</w:t>
      </w:r>
      <w:r w:rsidR="00741891" w:rsidRPr="00E729F9">
        <w:rPr>
          <w:szCs w:val="22"/>
        </w:rPr>
        <w:t xml:space="preserve">. </w:t>
      </w:r>
      <w:r w:rsidRPr="00E729F9">
        <w:rPr>
          <w:szCs w:val="22"/>
        </w:rPr>
        <w:t xml:space="preserve">Pay rates are generally </w:t>
      </w:r>
      <w:r w:rsidR="00565443">
        <w:rPr>
          <w:szCs w:val="22"/>
        </w:rPr>
        <w:t xml:space="preserve">already far </w:t>
      </w:r>
      <w:r w:rsidRPr="00E729F9">
        <w:rPr>
          <w:szCs w:val="22"/>
        </w:rPr>
        <w:t>higher</w:t>
      </w:r>
      <w:r w:rsidR="00565443">
        <w:rPr>
          <w:szCs w:val="22"/>
        </w:rPr>
        <w:t xml:space="preserve"> for this group</w:t>
      </w:r>
      <w:r w:rsidRPr="00E729F9">
        <w:rPr>
          <w:szCs w:val="22"/>
        </w:rPr>
        <w:t>, with median pay for the 25+ age group reported to be £7.15</w:t>
      </w:r>
      <w:r w:rsidR="00565443">
        <w:rPr>
          <w:szCs w:val="22"/>
        </w:rPr>
        <w:t>.</w:t>
      </w:r>
      <w:r w:rsidR="00565443" w:rsidRPr="00E729F9">
        <w:rPr>
          <w:szCs w:val="22"/>
        </w:rPr>
        <w:t xml:space="preserve"> </w:t>
      </w:r>
      <w:r w:rsidR="00565443">
        <w:rPr>
          <w:szCs w:val="22"/>
        </w:rPr>
        <w:t xml:space="preserve">In addition, </w:t>
      </w:r>
      <w:r w:rsidRPr="00E729F9">
        <w:rPr>
          <w:szCs w:val="22"/>
        </w:rPr>
        <w:t xml:space="preserve">more older workers tend to be in post before commencing their apprenticeship, with </w:t>
      </w:r>
      <w:r w:rsidR="00565443">
        <w:rPr>
          <w:szCs w:val="22"/>
        </w:rPr>
        <w:t>seven</w:t>
      </w:r>
      <w:r w:rsidR="00565443" w:rsidRPr="00E729F9">
        <w:rPr>
          <w:szCs w:val="22"/>
        </w:rPr>
        <w:t xml:space="preserve"> </w:t>
      </w:r>
      <w:r w:rsidRPr="00E729F9">
        <w:rPr>
          <w:szCs w:val="22"/>
        </w:rPr>
        <w:t xml:space="preserve">out of </w:t>
      </w:r>
      <w:r w:rsidR="00565443">
        <w:rPr>
          <w:szCs w:val="22"/>
        </w:rPr>
        <w:t>ten</w:t>
      </w:r>
      <w:r w:rsidR="00565443" w:rsidRPr="00E729F9">
        <w:rPr>
          <w:szCs w:val="22"/>
        </w:rPr>
        <w:t xml:space="preserve"> </w:t>
      </w:r>
      <w:r w:rsidRPr="00E729F9">
        <w:rPr>
          <w:szCs w:val="22"/>
        </w:rPr>
        <w:t>of all apprentices working for their current employer before commencing apprenticeships</w:t>
      </w:r>
      <w:r w:rsidRPr="00E729F9">
        <w:rPr>
          <w:rStyle w:val="FootnoteReference"/>
          <w:sz w:val="22"/>
          <w:szCs w:val="22"/>
        </w:rPr>
        <w:footnoteReference w:id="38"/>
      </w:r>
      <w:r w:rsidRPr="00E729F9">
        <w:rPr>
          <w:szCs w:val="22"/>
        </w:rPr>
        <w:t xml:space="preserve">, and there are reports that some existing training has been rebadged as apprenticeships in order to attract government funding. </w:t>
      </w:r>
      <w:r w:rsidR="00821B5A" w:rsidRPr="00E729F9">
        <w:rPr>
          <w:szCs w:val="22"/>
        </w:rPr>
        <w:t xml:space="preserve">Note </w:t>
      </w:r>
      <w:r w:rsidRPr="00E729F9">
        <w:rPr>
          <w:szCs w:val="22"/>
        </w:rPr>
        <w:t>also</w:t>
      </w:r>
      <w:r w:rsidR="00821B5A" w:rsidRPr="00E729F9">
        <w:rPr>
          <w:szCs w:val="22"/>
        </w:rPr>
        <w:t xml:space="preserve"> that the government wants to target </w:t>
      </w:r>
      <w:r w:rsidRPr="00E729F9">
        <w:rPr>
          <w:szCs w:val="22"/>
        </w:rPr>
        <w:t>investment</w:t>
      </w:r>
      <w:r w:rsidR="00821B5A" w:rsidRPr="00E729F9">
        <w:rPr>
          <w:szCs w:val="22"/>
        </w:rPr>
        <w:t xml:space="preserve"> in the </w:t>
      </w:r>
      <w:r w:rsidRPr="00E729F9">
        <w:rPr>
          <w:szCs w:val="22"/>
        </w:rPr>
        <w:t>apprenticeship</w:t>
      </w:r>
      <w:r w:rsidR="00821B5A" w:rsidRPr="00E729F9">
        <w:rPr>
          <w:szCs w:val="22"/>
        </w:rPr>
        <w:t xml:space="preserve"> </w:t>
      </w:r>
      <w:r w:rsidRPr="00E729F9">
        <w:rPr>
          <w:szCs w:val="22"/>
        </w:rPr>
        <w:t>programme</w:t>
      </w:r>
      <w:r w:rsidR="00821B5A" w:rsidRPr="00E729F9">
        <w:rPr>
          <w:szCs w:val="22"/>
        </w:rPr>
        <w:t xml:space="preserve"> on younger </w:t>
      </w:r>
      <w:r w:rsidRPr="00E729F9">
        <w:rPr>
          <w:szCs w:val="22"/>
        </w:rPr>
        <w:t>workers</w:t>
      </w:r>
      <w:r w:rsidR="00821B5A" w:rsidRPr="00E729F9">
        <w:rPr>
          <w:szCs w:val="22"/>
        </w:rPr>
        <w:t xml:space="preserve">, but 45 per </w:t>
      </w:r>
      <w:r w:rsidRPr="00E729F9">
        <w:rPr>
          <w:szCs w:val="22"/>
        </w:rPr>
        <w:t>cent</w:t>
      </w:r>
      <w:r w:rsidR="00821B5A" w:rsidRPr="00E729F9">
        <w:rPr>
          <w:szCs w:val="22"/>
        </w:rPr>
        <w:t xml:space="preserve"> of </w:t>
      </w:r>
      <w:r w:rsidRPr="00E729F9">
        <w:rPr>
          <w:szCs w:val="22"/>
        </w:rPr>
        <w:t xml:space="preserve">current </w:t>
      </w:r>
      <w:r w:rsidR="00821B5A" w:rsidRPr="00E729F9">
        <w:rPr>
          <w:szCs w:val="22"/>
        </w:rPr>
        <w:t>apprentices are aged 25+</w:t>
      </w:r>
      <w:r w:rsidR="00821B5A" w:rsidRPr="00E729F9">
        <w:rPr>
          <w:rStyle w:val="FootnoteReference"/>
          <w:sz w:val="22"/>
          <w:szCs w:val="22"/>
        </w:rPr>
        <w:footnoteReference w:id="39"/>
      </w:r>
      <w:r w:rsidR="00821B5A" w:rsidRPr="00E729F9">
        <w:rPr>
          <w:szCs w:val="22"/>
        </w:rPr>
        <w:t>.</w:t>
      </w:r>
      <w:r w:rsidR="000D0FCD" w:rsidRPr="00E729F9">
        <w:rPr>
          <w:szCs w:val="22"/>
        </w:rPr>
        <w:t xml:space="preserve"> In this context it seems odd to provide a substantial pay discount for </w:t>
      </w:r>
      <w:r w:rsidR="002C2E7C" w:rsidRPr="00E729F9">
        <w:rPr>
          <w:szCs w:val="22"/>
        </w:rPr>
        <w:t xml:space="preserve">the </w:t>
      </w:r>
      <w:r w:rsidR="000D0FCD" w:rsidRPr="00E729F9">
        <w:rPr>
          <w:szCs w:val="22"/>
        </w:rPr>
        <w:t xml:space="preserve">employers of older apprentices. </w:t>
      </w:r>
    </w:p>
    <w:p w:rsidR="003002DF" w:rsidRPr="00E729F9" w:rsidRDefault="00821B5A" w:rsidP="00E729F9">
      <w:pPr>
        <w:pStyle w:val="T5TextBody"/>
        <w:spacing w:line="276" w:lineRule="auto"/>
        <w:rPr>
          <w:szCs w:val="22"/>
        </w:rPr>
      </w:pPr>
      <w:r w:rsidRPr="00E729F9">
        <w:rPr>
          <w:szCs w:val="22"/>
        </w:rPr>
        <w:t xml:space="preserve">Second, we </w:t>
      </w:r>
      <w:r w:rsidR="007041A3" w:rsidRPr="00E729F9">
        <w:rPr>
          <w:szCs w:val="22"/>
        </w:rPr>
        <w:t>can</w:t>
      </w:r>
      <w:r w:rsidRPr="00E729F9">
        <w:rPr>
          <w:szCs w:val="22"/>
        </w:rPr>
        <w:t xml:space="preserve"> no longer see a case for </w:t>
      </w:r>
      <w:r w:rsidR="00EA1A17" w:rsidRPr="00E729F9">
        <w:rPr>
          <w:szCs w:val="22"/>
        </w:rPr>
        <w:t xml:space="preserve">allowing </w:t>
      </w:r>
      <w:r w:rsidRPr="00E729F9">
        <w:rPr>
          <w:szCs w:val="22"/>
        </w:rPr>
        <w:t xml:space="preserve">employers </w:t>
      </w:r>
      <w:r w:rsidR="00E11694" w:rsidRPr="00E729F9">
        <w:rPr>
          <w:szCs w:val="22"/>
        </w:rPr>
        <w:t>to</w:t>
      </w:r>
      <w:r w:rsidR="00EA1A17" w:rsidRPr="00E729F9">
        <w:rPr>
          <w:szCs w:val="22"/>
        </w:rPr>
        <w:t xml:space="preserve"> pay lower levels of </w:t>
      </w:r>
      <w:r w:rsidR="002B25E5" w:rsidRPr="00E729F9">
        <w:rPr>
          <w:szCs w:val="22"/>
        </w:rPr>
        <w:t>wages to</w:t>
      </w:r>
      <w:r w:rsidRPr="00E729F9">
        <w:rPr>
          <w:szCs w:val="22"/>
        </w:rPr>
        <w:t xml:space="preserve"> </w:t>
      </w:r>
      <w:r w:rsidR="00E11694" w:rsidRPr="00E729F9">
        <w:rPr>
          <w:szCs w:val="22"/>
        </w:rPr>
        <w:t>advance</w:t>
      </w:r>
      <w:r w:rsidRPr="00E729F9">
        <w:rPr>
          <w:szCs w:val="22"/>
        </w:rPr>
        <w:t xml:space="preserve"> or higher level </w:t>
      </w:r>
      <w:r w:rsidR="007041A3" w:rsidRPr="00E729F9">
        <w:rPr>
          <w:szCs w:val="22"/>
        </w:rPr>
        <w:t>apprentices</w:t>
      </w:r>
      <w:r w:rsidRPr="00E729F9">
        <w:rPr>
          <w:szCs w:val="22"/>
        </w:rPr>
        <w:t xml:space="preserve">, </w:t>
      </w:r>
      <w:r w:rsidR="00E11694" w:rsidRPr="00E729F9">
        <w:rPr>
          <w:szCs w:val="22"/>
        </w:rPr>
        <w:t>who make</w:t>
      </w:r>
      <w:r w:rsidR="00975233" w:rsidRPr="00E729F9">
        <w:rPr>
          <w:szCs w:val="22"/>
        </w:rPr>
        <w:t xml:space="preserve"> up 43.7 per </w:t>
      </w:r>
      <w:r w:rsidR="0027794F" w:rsidRPr="00E729F9">
        <w:rPr>
          <w:szCs w:val="22"/>
        </w:rPr>
        <w:t>cent</w:t>
      </w:r>
      <w:r w:rsidR="00975233" w:rsidRPr="00E729F9">
        <w:rPr>
          <w:szCs w:val="22"/>
        </w:rPr>
        <w:t xml:space="preserve"> of the total. Our view is that workers who already have an intermediate level </w:t>
      </w:r>
      <w:r w:rsidR="00975233" w:rsidRPr="00E729F9">
        <w:rPr>
          <w:szCs w:val="22"/>
        </w:rPr>
        <w:lastRenderedPageBreak/>
        <w:t xml:space="preserve">qualification should be able to make a contribution that is </w:t>
      </w:r>
      <w:r w:rsidR="00975233" w:rsidRPr="00E729F9">
        <w:rPr>
          <w:i/>
          <w:szCs w:val="22"/>
        </w:rPr>
        <w:t>more</w:t>
      </w:r>
      <w:r w:rsidR="00975233" w:rsidRPr="00E729F9">
        <w:rPr>
          <w:szCs w:val="22"/>
        </w:rPr>
        <w:t xml:space="preserve"> than the general age-based level of the minimum wage, so it is hard to see how a lower rate could still be justified. This view is supported by the fact that average </w:t>
      </w:r>
      <w:r w:rsidR="0027794F" w:rsidRPr="00E729F9">
        <w:rPr>
          <w:szCs w:val="22"/>
        </w:rPr>
        <w:t>earnings</w:t>
      </w:r>
      <w:r w:rsidR="00975233" w:rsidRPr="00E729F9">
        <w:rPr>
          <w:szCs w:val="22"/>
        </w:rPr>
        <w:t xml:space="preserve"> are </w:t>
      </w:r>
      <w:r w:rsidR="00565443">
        <w:rPr>
          <w:szCs w:val="22"/>
        </w:rPr>
        <w:t xml:space="preserve">already </w:t>
      </w:r>
      <w:r w:rsidR="00975233" w:rsidRPr="00E729F9">
        <w:rPr>
          <w:szCs w:val="22"/>
        </w:rPr>
        <w:t xml:space="preserve">higher for these apprentices. </w:t>
      </w:r>
      <w:r w:rsidR="0027794F" w:rsidRPr="00E729F9">
        <w:rPr>
          <w:szCs w:val="22"/>
        </w:rPr>
        <w:t>Mean hourly pay for a level 3 (advanced apprenticeship</w:t>
      </w:r>
      <w:r w:rsidR="00565443">
        <w:rPr>
          <w:szCs w:val="22"/>
        </w:rPr>
        <w:t>)</w:t>
      </w:r>
      <w:r w:rsidR="0027794F" w:rsidRPr="00E729F9">
        <w:rPr>
          <w:szCs w:val="22"/>
        </w:rPr>
        <w:t xml:space="preserve"> was £6.67 in 2012, according to the BIS pay survey</w:t>
      </w:r>
      <w:r w:rsidR="0027794F" w:rsidRPr="00E729F9">
        <w:rPr>
          <w:rStyle w:val="FootnoteReference"/>
          <w:sz w:val="22"/>
          <w:szCs w:val="22"/>
        </w:rPr>
        <w:footnoteReference w:id="40"/>
      </w:r>
      <w:r w:rsidR="0027794F" w:rsidRPr="00E729F9">
        <w:rPr>
          <w:szCs w:val="22"/>
        </w:rPr>
        <w:t>.</w:t>
      </w:r>
      <w:r w:rsidRPr="00E729F9">
        <w:rPr>
          <w:szCs w:val="22"/>
        </w:rPr>
        <w:t xml:space="preserve"> </w:t>
      </w:r>
    </w:p>
    <w:p w:rsidR="00821B5A" w:rsidRPr="00E729F9" w:rsidRDefault="00EF77C0" w:rsidP="00E729F9">
      <w:pPr>
        <w:pStyle w:val="T5TextBody"/>
        <w:spacing w:line="276" w:lineRule="auto"/>
        <w:rPr>
          <w:szCs w:val="22"/>
        </w:rPr>
      </w:pPr>
      <w:r w:rsidRPr="00E729F9">
        <w:rPr>
          <w:szCs w:val="22"/>
        </w:rPr>
        <w:t xml:space="preserve">Level 3 should be worth more than the apprentice </w:t>
      </w:r>
      <w:r w:rsidR="007041A3" w:rsidRPr="00E729F9">
        <w:rPr>
          <w:szCs w:val="22"/>
        </w:rPr>
        <w:t>minimum</w:t>
      </w:r>
      <w:r w:rsidRPr="00E729F9">
        <w:rPr>
          <w:szCs w:val="22"/>
        </w:rPr>
        <w:t xml:space="preserve"> wage. </w:t>
      </w:r>
      <w:r w:rsidR="007041A3" w:rsidRPr="00E729F9">
        <w:rPr>
          <w:szCs w:val="22"/>
        </w:rPr>
        <w:t>Here are</w:t>
      </w:r>
      <w:r w:rsidR="00821B5A" w:rsidRPr="00E729F9">
        <w:rPr>
          <w:szCs w:val="22"/>
        </w:rPr>
        <w:t xml:space="preserve"> just three examples of level 3 </w:t>
      </w:r>
      <w:r w:rsidR="007041A3" w:rsidRPr="00E729F9">
        <w:rPr>
          <w:szCs w:val="22"/>
        </w:rPr>
        <w:t>apprenticeship</w:t>
      </w:r>
      <w:r w:rsidR="00821B5A" w:rsidRPr="00E729F9">
        <w:rPr>
          <w:szCs w:val="22"/>
        </w:rPr>
        <w:t xml:space="preserve"> duties</w:t>
      </w:r>
      <w:r w:rsidR="000D0FCD" w:rsidRPr="00E729F9">
        <w:rPr>
          <w:szCs w:val="22"/>
        </w:rPr>
        <w:t>,</w:t>
      </w:r>
      <w:r w:rsidR="00821B5A" w:rsidRPr="00E729F9">
        <w:rPr>
          <w:szCs w:val="22"/>
        </w:rPr>
        <w:t xml:space="preserve"> </w:t>
      </w:r>
      <w:r w:rsidR="00314AED" w:rsidRPr="00E729F9">
        <w:rPr>
          <w:szCs w:val="22"/>
        </w:rPr>
        <w:t xml:space="preserve">chosen more or less at random </w:t>
      </w:r>
      <w:r w:rsidR="00821B5A" w:rsidRPr="00E729F9">
        <w:rPr>
          <w:szCs w:val="22"/>
        </w:rPr>
        <w:t>fr</w:t>
      </w:r>
      <w:r w:rsidR="00314AED" w:rsidRPr="00E729F9">
        <w:rPr>
          <w:szCs w:val="22"/>
        </w:rPr>
        <w:t>o</w:t>
      </w:r>
      <w:r w:rsidR="00821B5A" w:rsidRPr="00E729F9">
        <w:rPr>
          <w:szCs w:val="22"/>
        </w:rPr>
        <w:t xml:space="preserve">m </w:t>
      </w:r>
      <w:r w:rsidR="007041A3" w:rsidRPr="00E729F9">
        <w:rPr>
          <w:szCs w:val="22"/>
        </w:rPr>
        <w:t>the</w:t>
      </w:r>
      <w:r w:rsidR="00821B5A" w:rsidRPr="00E729F9">
        <w:rPr>
          <w:szCs w:val="22"/>
        </w:rPr>
        <w:t xml:space="preserve"> many job descriptions available on-line</w:t>
      </w:r>
      <w:r w:rsidR="000D0FCD" w:rsidRPr="00E729F9">
        <w:rPr>
          <w:szCs w:val="22"/>
        </w:rPr>
        <w:t xml:space="preserve">. They illustrate the high level of skill that apprentices in these positions are expected to have, and the extent of their substantial </w:t>
      </w:r>
      <w:r w:rsidR="00A82A2B" w:rsidRPr="00E729F9">
        <w:rPr>
          <w:szCs w:val="22"/>
        </w:rPr>
        <w:t>responsibilities:</w:t>
      </w:r>
    </w:p>
    <w:p w:rsidR="00EF77C0" w:rsidRPr="00E729F9" w:rsidRDefault="007041A3" w:rsidP="00E729F9">
      <w:pPr>
        <w:pStyle w:val="T5TextBody"/>
        <w:spacing w:line="276" w:lineRule="auto"/>
        <w:rPr>
          <w:b/>
          <w:i/>
          <w:szCs w:val="22"/>
        </w:rPr>
      </w:pPr>
      <w:r w:rsidRPr="00E729F9">
        <w:rPr>
          <w:b/>
          <w:i/>
          <w:szCs w:val="22"/>
        </w:rPr>
        <w:t>Personal</w:t>
      </w:r>
      <w:r w:rsidR="00EF77C0" w:rsidRPr="00E729F9">
        <w:rPr>
          <w:b/>
          <w:i/>
          <w:szCs w:val="22"/>
        </w:rPr>
        <w:t xml:space="preserve"> trainer </w:t>
      </w:r>
      <w:r w:rsidRPr="00E729F9">
        <w:rPr>
          <w:b/>
          <w:i/>
          <w:szCs w:val="22"/>
        </w:rPr>
        <w:t>vacancy</w:t>
      </w:r>
      <w:r w:rsidR="00EF77C0" w:rsidRPr="00E729F9">
        <w:rPr>
          <w:b/>
          <w:i/>
          <w:szCs w:val="22"/>
        </w:rPr>
        <w:t xml:space="preserve">, </w:t>
      </w:r>
      <w:r w:rsidR="00821B5A" w:rsidRPr="00E729F9">
        <w:rPr>
          <w:b/>
          <w:i/>
          <w:szCs w:val="22"/>
        </w:rPr>
        <w:t xml:space="preserve">pay </w:t>
      </w:r>
      <w:r w:rsidR="00EF77C0" w:rsidRPr="00E729F9">
        <w:rPr>
          <w:b/>
          <w:i/>
          <w:szCs w:val="22"/>
        </w:rPr>
        <w:t>advertised at £100 per week:</w:t>
      </w:r>
    </w:p>
    <w:p w:rsidR="00EF77C0" w:rsidRPr="00E729F9" w:rsidRDefault="00226E1B" w:rsidP="00E729F9">
      <w:pPr>
        <w:pStyle w:val="ListParagraph"/>
        <w:widowControl/>
        <w:numPr>
          <w:ilvl w:val="0"/>
          <w:numId w:val="19"/>
        </w:numPr>
        <w:spacing w:before="100" w:beforeAutospacing="1" w:after="100" w:afterAutospacing="1" w:line="276" w:lineRule="auto"/>
        <w:rPr>
          <w:rFonts w:ascii="Sabon" w:hAnsi="Sabon" w:cs="Arial"/>
          <w:snapToGrid/>
          <w:color w:val="2B001D"/>
          <w:sz w:val="22"/>
          <w:szCs w:val="22"/>
          <w:lang w:eastAsia="en-GB"/>
        </w:rPr>
      </w:pPr>
      <w:r w:rsidRPr="00E729F9">
        <w:rPr>
          <w:rFonts w:ascii="Sabon" w:hAnsi="Sabon" w:cs="Arial"/>
          <w:snapToGrid/>
          <w:color w:val="2B001D"/>
          <w:sz w:val="22"/>
          <w:szCs w:val="22"/>
          <w:lang w:eastAsia="en-GB"/>
        </w:rPr>
        <w:t>“</w:t>
      </w:r>
      <w:r w:rsidR="00EF77C0" w:rsidRPr="00E729F9">
        <w:rPr>
          <w:rFonts w:ascii="Sabon" w:hAnsi="Sabon" w:cs="Arial"/>
          <w:snapToGrid/>
          <w:color w:val="2B001D"/>
          <w:sz w:val="22"/>
          <w:szCs w:val="22"/>
          <w:lang w:eastAsia="en-GB"/>
        </w:rPr>
        <w:t>To work unsupervised as a Personal Trainer in the gym</w:t>
      </w:r>
    </w:p>
    <w:p w:rsidR="00EF77C0" w:rsidRPr="00E729F9" w:rsidRDefault="00EF77C0" w:rsidP="00E729F9">
      <w:pPr>
        <w:pStyle w:val="ListParagraph"/>
        <w:widowControl/>
        <w:numPr>
          <w:ilvl w:val="0"/>
          <w:numId w:val="19"/>
        </w:numPr>
        <w:spacing w:before="100" w:beforeAutospacing="1" w:after="100" w:afterAutospacing="1" w:line="276" w:lineRule="auto"/>
        <w:rPr>
          <w:rFonts w:ascii="Sabon" w:hAnsi="Sabon" w:cs="Arial"/>
          <w:snapToGrid/>
          <w:color w:val="2B001D"/>
          <w:sz w:val="22"/>
          <w:szCs w:val="22"/>
          <w:lang w:eastAsia="en-GB"/>
        </w:rPr>
      </w:pPr>
      <w:r w:rsidRPr="00E729F9">
        <w:rPr>
          <w:rFonts w:ascii="Sabon" w:hAnsi="Sabon" w:cs="Arial"/>
          <w:snapToGrid/>
          <w:color w:val="2B001D"/>
          <w:sz w:val="22"/>
          <w:szCs w:val="22"/>
          <w:lang w:eastAsia="en-GB"/>
        </w:rPr>
        <w:t>To implement the delivery and planning of training programmes</w:t>
      </w:r>
    </w:p>
    <w:p w:rsidR="00EF77C0" w:rsidRPr="00E729F9" w:rsidRDefault="00EF77C0" w:rsidP="00E729F9">
      <w:pPr>
        <w:pStyle w:val="ListParagraph"/>
        <w:widowControl/>
        <w:numPr>
          <w:ilvl w:val="0"/>
          <w:numId w:val="19"/>
        </w:numPr>
        <w:spacing w:before="100" w:beforeAutospacing="1" w:after="100" w:afterAutospacing="1" w:line="276" w:lineRule="auto"/>
        <w:rPr>
          <w:rFonts w:ascii="Sabon" w:hAnsi="Sabon" w:cs="Arial"/>
          <w:snapToGrid/>
          <w:color w:val="2B001D"/>
          <w:sz w:val="22"/>
          <w:szCs w:val="22"/>
          <w:lang w:eastAsia="en-GB"/>
        </w:rPr>
      </w:pPr>
      <w:r w:rsidRPr="00E729F9">
        <w:rPr>
          <w:rFonts w:ascii="Sabon" w:hAnsi="Sabon" w:cs="Arial"/>
          <w:snapToGrid/>
          <w:color w:val="2B001D"/>
          <w:sz w:val="22"/>
          <w:szCs w:val="22"/>
          <w:lang w:eastAsia="en-GB"/>
        </w:rPr>
        <w:t>To monitor and record health and weight progress</w:t>
      </w:r>
    </w:p>
    <w:p w:rsidR="00EF77C0" w:rsidRPr="00E729F9" w:rsidRDefault="00EF77C0" w:rsidP="00E729F9">
      <w:pPr>
        <w:pStyle w:val="ListParagraph"/>
        <w:widowControl/>
        <w:numPr>
          <w:ilvl w:val="0"/>
          <w:numId w:val="19"/>
        </w:numPr>
        <w:spacing w:before="100" w:beforeAutospacing="1" w:after="100" w:afterAutospacing="1" w:line="276" w:lineRule="auto"/>
        <w:rPr>
          <w:rFonts w:ascii="Sabon" w:hAnsi="Sabon" w:cs="Arial"/>
          <w:snapToGrid/>
          <w:color w:val="2B001D"/>
          <w:sz w:val="22"/>
          <w:szCs w:val="22"/>
          <w:lang w:eastAsia="en-GB"/>
        </w:rPr>
      </w:pPr>
      <w:r w:rsidRPr="00E729F9">
        <w:rPr>
          <w:rFonts w:ascii="Sabon" w:hAnsi="Sabon" w:cs="Arial"/>
          <w:snapToGrid/>
          <w:color w:val="2B001D"/>
          <w:sz w:val="22"/>
          <w:szCs w:val="22"/>
          <w:lang w:eastAsia="en-GB"/>
        </w:rPr>
        <w:t>To advise clients on their diet and nutrition</w:t>
      </w:r>
      <w:r w:rsidR="00226E1B" w:rsidRPr="00E729F9">
        <w:rPr>
          <w:rStyle w:val="FootnoteReference"/>
          <w:rFonts w:ascii="Sabon" w:hAnsi="Sabon" w:cs="Arial"/>
          <w:snapToGrid/>
          <w:color w:val="2B001D"/>
          <w:sz w:val="22"/>
          <w:szCs w:val="22"/>
          <w:lang w:eastAsia="en-GB"/>
        </w:rPr>
        <w:footnoteReference w:id="41"/>
      </w:r>
      <w:r w:rsidR="00226E1B" w:rsidRPr="00E729F9">
        <w:rPr>
          <w:rFonts w:ascii="Sabon" w:hAnsi="Sabon" w:cs="Arial"/>
          <w:snapToGrid/>
          <w:color w:val="2B001D"/>
          <w:sz w:val="22"/>
          <w:szCs w:val="22"/>
          <w:lang w:eastAsia="en-GB"/>
        </w:rPr>
        <w:t>”</w:t>
      </w:r>
    </w:p>
    <w:p w:rsidR="00821B5A" w:rsidRPr="00E729F9" w:rsidRDefault="00821B5A" w:rsidP="00E729F9">
      <w:pPr>
        <w:widowControl/>
        <w:spacing w:before="100" w:beforeAutospacing="1" w:after="100" w:afterAutospacing="1" w:line="276" w:lineRule="auto"/>
        <w:rPr>
          <w:rFonts w:ascii="Sabon" w:hAnsi="Sabon"/>
          <w:b/>
          <w:i/>
          <w:snapToGrid/>
          <w:sz w:val="22"/>
          <w:szCs w:val="22"/>
          <w:lang w:eastAsia="en-GB"/>
        </w:rPr>
      </w:pPr>
      <w:r w:rsidRPr="00E729F9">
        <w:rPr>
          <w:rFonts w:ascii="Sabon" w:hAnsi="Sabon"/>
          <w:b/>
          <w:i/>
          <w:snapToGrid/>
          <w:sz w:val="22"/>
          <w:szCs w:val="22"/>
          <w:lang w:eastAsia="en-GB"/>
        </w:rPr>
        <w:t xml:space="preserve">Business Support Apprentice, </w:t>
      </w:r>
      <w:r w:rsidR="007041A3" w:rsidRPr="00E729F9">
        <w:rPr>
          <w:rFonts w:ascii="Sabon" w:hAnsi="Sabon"/>
          <w:b/>
          <w:i/>
          <w:snapToGrid/>
          <w:sz w:val="22"/>
          <w:szCs w:val="22"/>
          <w:lang w:eastAsia="en-GB"/>
        </w:rPr>
        <w:t>salary</w:t>
      </w:r>
      <w:r w:rsidRPr="00E729F9">
        <w:rPr>
          <w:rFonts w:ascii="Sabon" w:hAnsi="Sabon"/>
          <w:b/>
          <w:i/>
          <w:snapToGrid/>
          <w:sz w:val="22"/>
          <w:szCs w:val="22"/>
          <w:lang w:eastAsia="en-GB"/>
        </w:rPr>
        <w:t xml:space="preserve"> – “</w:t>
      </w:r>
      <w:r w:rsidR="007041A3" w:rsidRPr="00E729F9">
        <w:rPr>
          <w:rFonts w:ascii="Sabon" w:hAnsi="Sabon"/>
          <w:b/>
          <w:i/>
          <w:snapToGrid/>
          <w:sz w:val="22"/>
          <w:szCs w:val="22"/>
          <w:lang w:eastAsia="en-GB"/>
        </w:rPr>
        <w:t>competitive</w:t>
      </w:r>
      <w:r w:rsidRPr="00E729F9">
        <w:rPr>
          <w:rFonts w:ascii="Sabon" w:hAnsi="Sabon"/>
          <w:b/>
          <w:i/>
          <w:snapToGrid/>
          <w:sz w:val="22"/>
          <w:szCs w:val="22"/>
          <w:lang w:eastAsia="en-GB"/>
        </w:rPr>
        <w:t xml:space="preserve">, plus </w:t>
      </w:r>
      <w:r w:rsidR="007041A3" w:rsidRPr="00E729F9">
        <w:rPr>
          <w:rFonts w:ascii="Sabon" w:hAnsi="Sabon"/>
          <w:b/>
          <w:i/>
          <w:snapToGrid/>
          <w:sz w:val="22"/>
          <w:szCs w:val="22"/>
          <w:lang w:eastAsia="en-GB"/>
        </w:rPr>
        <w:t>benefits</w:t>
      </w:r>
      <w:r w:rsidRPr="00E729F9">
        <w:rPr>
          <w:rFonts w:ascii="Sabon" w:hAnsi="Sabon"/>
          <w:b/>
          <w:i/>
          <w:snapToGrid/>
          <w:sz w:val="22"/>
          <w:szCs w:val="22"/>
          <w:lang w:eastAsia="en-GB"/>
        </w:rPr>
        <w:t>”</w:t>
      </w:r>
    </w:p>
    <w:p w:rsidR="00821B5A" w:rsidRPr="00E729F9" w:rsidRDefault="00821B5A" w:rsidP="00E729F9">
      <w:pPr>
        <w:widowControl/>
        <w:spacing w:before="100" w:beforeAutospacing="1" w:after="100" w:afterAutospacing="1" w:line="276" w:lineRule="auto"/>
        <w:rPr>
          <w:rFonts w:ascii="Sabon" w:hAnsi="Sabon"/>
          <w:snapToGrid/>
          <w:sz w:val="22"/>
          <w:szCs w:val="22"/>
          <w:lang w:eastAsia="en-GB"/>
        </w:rPr>
      </w:pPr>
      <w:r w:rsidRPr="00E729F9">
        <w:rPr>
          <w:rFonts w:ascii="Sabon" w:hAnsi="Sabon"/>
          <w:snapToGrid/>
          <w:sz w:val="22"/>
          <w:szCs w:val="22"/>
          <w:lang w:eastAsia="en-GB"/>
        </w:rPr>
        <w:t>“</w:t>
      </w:r>
      <w:r w:rsidR="00565443">
        <w:rPr>
          <w:rFonts w:ascii="Sabon" w:hAnsi="Sabon"/>
          <w:snapToGrid/>
          <w:sz w:val="22"/>
          <w:szCs w:val="22"/>
          <w:lang w:eastAsia="en-GB"/>
        </w:rPr>
        <w:t>T</w:t>
      </w:r>
      <w:r w:rsidRPr="00E729F9">
        <w:rPr>
          <w:rFonts w:ascii="Sabon" w:hAnsi="Sabon"/>
          <w:snapToGrid/>
          <w:sz w:val="22"/>
          <w:szCs w:val="22"/>
          <w:lang w:eastAsia="en-GB"/>
        </w:rPr>
        <w:t>he candidate will be expected to fulfil a range of duties including:-</w:t>
      </w:r>
    </w:p>
    <w:p w:rsidR="00821B5A" w:rsidRPr="00E729F9" w:rsidRDefault="00821B5A" w:rsidP="00E729F9">
      <w:pPr>
        <w:widowControl/>
        <w:numPr>
          <w:ilvl w:val="0"/>
          <w:numId w:val="20"/>
        </w:numPr>
        <w:spacing w:before="100" w:beforeAutospacing="1" w:after="100" w:afterAutospacing="1" w:line="276" w:lineRule="auto"/>
        <w:rPr>
          <w:rFonts w:ascii="Sabon" w:hAnsi="Sabon"/>
          <w:snapToGrid/>
          <w:sz w:val="22"/>
          <w:szCs w:val="22"/>
          <w:lang w:eastAsia="en-GB"/>
        </w:rPr>
      </w:pPr>
      <w:r w:rsidRPr="00E729F9">
        <w:rPr>
          <w:rFonts w:ascii="Sabon" w:hAnsi="Sabon"/>
          <w:snapToGrid/>
          <w:sz w:val="22"/>
          <w:szCs w:val="22"/>
          <w:lang w:eastAsia="en-GB"/>
        </w:rPr>
        <w:t xml:space="preserve">Maintaining the upkeep and presentation of Front of House at all times. </w:t>
      </w:r>
    </w:p>
    <w:p w:rsidR="00821B5A" w:rsidRPr="00E729F9" w:rsidRDefault="00821B5A" w:rsidP="00E729F9">
      <w:pPr>
        <w:widowControl/>
        <w:numPr>
          <w:ilvl w:val="0"/>
          <w:numId w:val="20"/>
        </w:numPr>
        <w:spacing w:before="100" w:beforeAutospacing="1" w:after="100" w:afterAutospacing="1" w:line="276" w:lineRule="auto"/>
        <w:rPr>
          <w:rFonts w:ascii="Sabon" w:hAnsi="Sabon"/>
          <w:snapToGrid/>
          <w:sz w:val="22"/>
          <w:szCs w:val="22"/>
          <w:lang w:eastAsia="en-GB"/>
        </w:rPr>
      </w:pPr>
      <w:r w:rsidRPr="00E729F9">
        <w:rPr>
          <w:rFonts w:ascii="Sabon" w:hAnsi="Sabon"/>
          <w:snapToGrid/>
          <w:sz w:val="22"/>
          <w:szCs w:val="22"/>
          <w:lang w:eastAsia="en-GB"/>
        </w:rPr>
        <w:t xml:space="preserve">Greeting all corporate clients, partners, contractors and visitors to the organisation. </w:t>
      </w:r>
    </w:p>
    <w:p w:rsidR="00821B5A" w:rsidRPr="00E729F9" w:rsidRDefault="00821B5A" w:rsidP="00E729F9">
      <w:pPr>
        <w:widowControl/>
        <w:numPr>
          <w:ilvl w:val="0"/>
          <w:numId w:val="20"/>
        </w:numPr>
        <w:spacing w:before="100" w:beforeAutospacing="1" w:after="100" w:afterAutospacing="1" w:line="276" w:lineRule="auto"/>
        <w:rPr>
          <w:rFonts w:ascii="Sabon" w:hAnsi="Sabon"/>
          <w:snapToGrid/>
          <w:sz w:val="22"/>
          <w:szCs w:val="22"/>
          <w:lang w:eastAsia="en-GB"/>
        </w:rPr>
      </w:pPr>
      <w:r w:rsidRPr="00E729F9">
        <w:rPr>
          <w:rFonts w:ascii="Sabon" w:hAnsi="Sabon"/>
          <w:snapToGrid/>
          <w:sz w:val="22"/>
          <w:szCs w:val="22"/>
          <w:lang w:eastAsia="en-GB"/>
        </w:rPr>
        <w:t xml:space="preserve">Act as business interface so as to filter general information, requests and queries, screening phone calls. </w:t>
      </w:r>
    </w:p>
    <w:p w:rsidR="00821B5A" w:rsidRPr="00E729F9" w:rsidRDefault="00821B5A" w:rsidP="00E729F9">
      <w:pPr>
        <w:widowControl/>
        <w:numPr>
          <w:ilvl w:val="0"/>
          <w:numId w:val="20"/>
        </w:numPr>
        <w:spacing w:before="100" w:beforeAutospacing="1" w:after="100" w:afterAutospacing="1" w:line="276" w:lineRule="auto"/>
        <w:rPr>
          <w:rFonts w:ascii="Sabon" w:hAnsi="Sabon"/>
          <w:snapToGrid/>
          <w:sz w:val="22"/>
          <w:szCs w:val="22"/>
          <w:lang w:eastAsia="en-GB"/>
        </w:rPr>
      </w:pPr>
      <w:r w:rsidRPr="00E729F9">
        <w:rPr>
          <w:rFonts w:ascii="Sabon" w:hAnsi="Sabon"/>
          <w:snapToGrid/>
          <w:sz w:val="22"/>
          <w:szCs w:val="22"/>
          <w:lang w:eastAsia="en-GB"/>
        </w:rPr>
        <w:t xml:space="preserve">Ad hoc diary management for Directors. </w:t>
      </w:r>
    </w:p>
    <w:p w:rsidR="00821B5A" w:rsidRPr="00E729F9" w:rsidRDefault="00821B5A" w:rsidP="00E729F9">
      <w:pPr>
        <w:widowControl/>
        <w:numPr>
          <w:ilvl w:val="0"/>
          <w:numId w:val="20"/>
        </w:numPr>
        <w:spacing w:before="100" w:beforeAutospacing="1" w:after="100" w:afterAutospacing="1" w:line="276" w:lineRule="auto"/>
        <w:rPr>
          <w:rFonts w:ascii="Sabon" w:hAnsi="Sabon"/>
          <w:snapToGrid/>
          <w:sz w:val="22"/>
          <w:szCs w:val="22"/>
          <w:lang w:eastAsia="en-GB"/>
        </w:rPr>
      </w:pPr>
      <w:r w:rsidRPr="00E729F9">
        <w:rPr>
          <w:rFonts w:ascii="Sabon" w:hAnsi="Sabon"/>
          <w:snapToGrid/>
          <w:sz w:val="22"/>
          <w:szCs w:val="22"/>
          <w:lang w:eastAsia="en-GB"/>
        </w:rPr>
        <w:t>Inventory management and ensuring office supplies are up to date.</w:t>
      </w:r>
      <w:r w:rsidRPr="00E729F9">
        <w:rPr>
          <w:rStyle w:val="FootnoteReference"/>
          <w:rFonts w:ascii="Sabon" w:hAnsi="Sabon"/>
          <w:snapToGrid/>
          <w:sz w:val="22"/>
          <w:szCs w:val="22"/>
          <w:lang w:eastAsia="en-GB"/>
        </w:rPr>
        <w:footnoteReference w:id="42"/>
      </w:r>
      <w:r w:rsidRPr="00E729F9">
        <w:rPr>
          <w:rFonts w:ascii="Sabon" w:hAnsi="Sabon"/>
          <w:snapToGrid/>
          <w:sz w:val="22"/>
          <w:szCs w:val="22"/>
          <w:lang w:eastAsia="en-GB"/>
        </w:rPr>
        <w:t xml:space="preserve">” </w:t>
      </w:r>
    </w:p>
    <w:p w:rsidR="00EF77C0" w:rsidRPr="00E729F9" w:rsidRDefault="000D0FCD" w:rsidP="00E729F9">
      <w:pPr>
        <w:pStyle w:val="T5TextBody"/>
        <w:spacing w:line="276" w:lineRule="auto"/>
        <w:rPr>
          <w:b/>
          <w:i/>
          <w:szCs w:val="22"/>
        </w:rPr>
      </w:pPr>
      <w:r w:rsidRPr="00E729F9">
        <w:rPr>
          <w:b/>
          <w:i/>
          <w:szCs w:val="22"/>
        </w:rPr>
        <w:t>B</w:t>
      </w:r>
      <w:r w:rsidR="00314AED" w:rsidRPr="00E729F9">
        <w:rPr>
          <w:b/>
          <w:i/>
          <w:szCs w:val="22"/>
        </w:rPr>
        <w:t xml:space="preserve">usiness </w:t>
      </w:r>
      <w:r w:rsidR="007041A3" w:rsidRPr="00E729F9">
        <w:rPr>
          <w:b/>
          <w:i/>
          <w:szCs w:val="22"/>
        </w:rPr>
        <w:t>administration</w:t>
      </w:r>
      <w:r w:rsidR="00314AED" w:rsidRPr="00E729F9">
        <w:rPr>
          <w:b/>
          <w:i/>
          <w:szCs w:val="22"/>
        </w:rPr>
        <w:t xml:space="preserve"> </w:t>
      </w:r>
      <w:r w:rsidR="007041A3" w:rsidRPr="00E729F9">
        <w:rPr>
          <w:b/>
          <w:i/>
          <w:szCs w:val="22"/>
        </w:rPr>
        <w:t>apprentice</w:t>
      </w:r>
      <w:r w:rsidR="00314AED" w:rsidRPr="00E729F9">
        <w:rPr>
          <w:b/>
          <w:i/>
          <w:szCs w:val="22"/>
        </w:rPr>
        <w:t>, advertised at £2.65 per hour.</w:t>
      </w:r>
    </w:p>
    <w:p w:rsidR="00821B5A" w:rsidRPr="00E729F9" w:rsidRDefault="00314AED" w:rsidP="00E729F9">
      <w:pPr>
        <w:widowControl/>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lastRenderedPageBreak/>
        <w:t>Vacancy for “a</w:t>
      </w:r>
      <w:r w:rsidR="00821B5A" w:rsidRPr="00E729F9">
        <w:rPr>
          <w:rFonts w:ascii="Sabon" w:hAnsi="Sabon" w:cs="Arial"/>
          <w:snapToGrid/>
          <w:color w:val="222222"/>
          <w:sz w:val="22"/>
          <w:szCs w:val="22"/>
          <w:lang w:eastAsia="en-GB"/>
        </w:rPr>
        <w:t>n expanding specialist agency dealing with the recruitment of qualified social workers into social work, drug, alcohol, criminal and justice fields</w:t>
      </w:r>
      <w:r w:rsidRPr="00E729F9">
        <w:rPr>
          <w:rFonts w:ascii="Sabon" w:hAnsi="Sabon" w:cs="Arial"/>
          <w:snapToGrid/>
          <w:color w:val="222222"/>
          <w:sz w:val="22"/>
          <w:szCs w:val="22"/>
          <w:lang w:eastAsia="en-GB"/>
        </w:rPr>
        <w:t>”</w:t>
      </w:r>
      <w:r w:rsidR="00821B5A" w:rsidRPr="00E729F9">
        <w:rPr>
          <w:rFonts w:ascii="Sabon" w:hAnsi="Sabon" w:cs="Arial"/>
          <w:snapToGrid/>
          <w:color w:val="222222"/>
          <w:sz w:val="22"/>
          <w:szCs w:val="22"/>
          <w:lang w:eastAsia="en-GB"/>
        </w:rPr>
        <w:t xml:space="preserve">. </w:t>
      </w:r>
      <w:r w:rsidR="000D0FCD" w:rsidRPr="00E729F9">
        <w:rPr>
          <w:rFonts w:ascii="Sabon" w:hAnsi="Sabon" w:cs="Arial"/>
          <w:snapToGrid/>
          <w:color w:val="222222"/>
          <w:sz w:val="22"/>
          <w:szCs w:val="22"/>
          <w:lang w:eastAsia="en-GB"/>
        </w:rPr>
        <w:t xml:space="preserve">Five </w:t>
      </w:r>
      <w:r w:rsidRPr="00E729F9">
        <w:rPr>
          <w:rFonts w:ascii="Sabon" w:hAnsi="Sabon" w:cs="Arial"/>
          <w:snapToGrid/>
          <w:color w:val="222222"/>
          <w:sz w:val="22"/>
          <w:szCs w:val="22"/>
          <w:lang w:eastAsia="en-GB"/>
        </w:rPr>
        <w:t>GCSE passes required. “</w:t>
      </w:r>
      <w:r w:rsidR="00821B5A" w:rsidRPr="00E729F9">
        <w:rPr>
          <w:rFonts w:ascii="Sabon" w:hAnsi="Sabon" w:cs="Arial"/>
          <w:snapToGrid/>
          <w:color w:val="222222"/>
          <w:sz w:val="22"/>
          <w:szCs w:val="22"/>
          <w:lang w:eastAsia="en-GB"/>
        </w:rPr>
        <w:t>Duties will include:</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Compliance for candidates</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Cold calling</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Registering and formatting CVs</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Managing the recruitment database</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Obtaining candidate references</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Sending out incoming vacancies to the team</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Resourcing and updating candidates</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Upkeep of websites and social media</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Assisting Directors with office ad hoc duties</w:t>
      </w:r>
    </w:p>
    <w:p w:rsidR="00821B5A" w:rsidRPr="00E729F9" w:rsidRDefault="00821B5A" w:rsidP="00E729F9">
      <w:pPr>
        <w:pStyle w:val="ListParagraph"/>
        <w:widowControl/>
        <w:numPr>
          <w:ilvl w:val="0"/>
          <w:numId w:val="21"/>
        </w:numPr>
        <w:spacing w:before="100" w:beforeAutospacing="1" w:after="100" w:afterAutospacing="1" w:line="276" w:lineRule="auto"/>
        <w:rPr>
          <w:rFonts w:ascii="Sabon" w:hAnsi="Sabon" w:cs="Arial"/>
          <w:snapToGrid/>
          <w:color w:val="222222"/>
          <w:sz w:val="22"/>
          <w:szCs w:val="22"/>
          <w:lang w:eastAsia="en-GB"/>
        </w:rPr>
      </w:pPr>
      <w:r w:rsidRPr="00E729F9">
        <w:rPr>
          <w:rFonts w:ascii="Sabon" w:hAnsi="Sabon" w:cs="Arial"/>
          <w:snapToGrid/>
          <w:color w:val="222222"/>
          <w:sz w:val="22"/>
          <w:szCs w:val="22"/>
          <w:lang w:eastAsia="en-GB"/>
        </w:rPr>
        <w:t>Reference chasing</w:t>
      </w:r>
      <w:r w:rsidR="00314AED" w:rsidRPr="00E729F9">
        <w:rPr>
          <w:rFonts w:ascii="Sabon" w:hAnsi="Sabon" w:cs="Arial"/>
          <w:snapToGrid/>
          <w:color w:val="222222"/>
          <w:sz w:val="22"/>
          <w:szCs w:val="22"/>
          <w:lang w:eastAsia="en-GB"/>
        </w:rPr>
        <w:t>”</w:t>
      </w:r>
      <w:r w:rsidR="00314AED" w:rsidRPr="00E729F9">
        <w:rPr>
          <w:rStyle w:val="FootnoteReference"/>
          <w:rFonts w:ascii="Sabon" w:hAnsi="Sabon" w:cs="Arial"/>
          <w:snapToGrid/>
          <w:color w:val="222222"/>
          <w:sz w:val="22"/>
          <w:szCs w:val="22"/>
          <w:lang w:eastAsia="en-GB"/>
        </w:rPr>
        <w:footnoteReference w:id="43"/>
      </w:r>
      <w:r w:rsidR="00314AED" w:rsidRPr="00E729F9">
        <w:rPr>
          <w:rFonts w:ascii="Sabon" w:hAnsi="Sabon" w:cs="Arial"/>
          <w:snapToGrid/>
          <w:color w:val="222222"/>
          <w:sz w:val="22"/>
          <w:szCs w:val="22"/>
          <w:lang w:eastAsia="en-GB"/>
        </w:rPr>
        <w:t>.</w:t>
      </w:r>
    </w:p>
    <w:p w:rsidR="00EF77C0" w:rsidRPr="00E729F9" w:rsidRDefault="00314AED" w:rsidP="00E729F9">
      <w:pPr>
        <w:pStyle w:val="T5TextBody"/>
        <w:spacing w:line="276" w:lineRule="auto"/>
        <w:rPr>
          <w:szCs w:val="22"/>
        </w:rPr>
      </w:pPr>
      <w:r w:rsidRPr="00E729F9">
        <w:rPr>
          <w:szCs w:val="22"/>
        </w:rPr>
        <w:t xml:space="preserve">On the basis of the job </w:t>
      </w:r>
      <w:r w:rsidR="007041A3" w:rsidRPr="00E729F9">
        <w:rPr>
          <w:szCs w:val="22"/>
        </w:rPr>
        <w:t>descriptions</w:t>
      </w:r>
      <w:r w:rsidRPr="00E729F9">
        <w:rPr>
          <w:szCs w:val="22"/>
        </w:rPr>
        <w:t>, these</w:t>
      </w:r>
      <w:r w:rsidR="00C536F9" w:rsidRPr="00E729F9">
        <w:rPr>
          <w:szCs w:val="22"/>
        </w:rPr>
        <w:t xml:space="preserve"> </w:t>
      </w:r>
      <w:r w:rsidRPr="00E729F9">
        <w:rPr>
          <w:szCs w:val="22"/>
        </w:rPr>
        <w:t xml:space="preserve">level three </w:t>
      </w:r>
      <w:r w:rsidR="007041A3" w:rsidRPr="00E729F9">
        <w:rPr>
          <w:szCs w:val="22"/>
        </w:rPr>
        <w:t>apprenticeships</w:t>
      </w:r>
      <w:r w:rsidRPr="00E729F9">
        <w:rPr>
          <w:szCs w:val="22"/>
        </w:rPr>
        <w:t xml:space="preserve"> sound like they should actually be paid rather more than the </w:t>
      </w:r>
      <w:r w:rsidR="007041A3" w:rsidRPr="00E729F9">
        <w:rPr>
          <w:szCs w:val="22"/>
        </w:rPr>
        <w:t>standard</w:t>
      </w:r>
      <w:r w:rsidRPr="00E729F9">
        <w:rPr>
          <w:szCs w:val="22"/>
        </w:rPr>
        <w:t xml:space="preserve"> </w:t>
      </w:r>
      <w:r w:rsidR="007041A3" w:rsidRPr="00E729F9">
        <w:rPr>
          <w:szCs w:val="22"/>
        </w:rPr>
        <w:t>minimum</w:t>
      </w:r>
      <w:r w:rsidRPr="00E729F9">
        <w:rPr>
          <w:szCs w:val="22"/>
        </w:rPr>
        <w:t xml:space="preserve"> wage, not </w:t>
      </w:r>
      <w:r w:rsidR="000D0FCD" w:rsidRPr="00E729F9">
        <w:rPr>
          <w:szCs w:val="22"/>
        </w:rPr>
        <w:t xml:space="preserve">simply </w:t>
      </w:r>
      <w:r w:rsidR="007041A3" w:rsidRPr="00E729F9">
        <w:rPr>
          <w:szCs w:val="22"/>
        </w:rPr>
        <w:t>the</w:t>
      </w:r>
      <w:r w:rsidRPr="00E729F9">
        <w:rPr>
          <w:szCs w:val="22"/>
        </w:rPr>
        <w:t xml:space="preserve"> apprentice rate.</w:t>
      </w:r>
    </w:p>
    <w:p w:rsidR="00A1469D" w:rsidRPr="00E729F9" w:rsidRDefault="0027794F" w:rsidP="00E729F9">
      <w:pPr>
        <w:pStyle w:val="T5TextBody"/>
        <w:spacing w:line="276" w:lineRule="auto"/>
        <w:rPr>
          <w:szCs w:val="22"/>
        </w:rPr>
      </w:pPr>
      <w:r w:rsidRPr="00E729F9">
        <w:rPr>
          <w:szCs w:val="22"/>
        </w:rPr>
        <w:t xml:space="preserve">The apprentice model has been successfully revived, as the TUC hoped, and numbers have continued to grow strongly in recent years. </w:t>
      </w:r>
      <w:r w:rsidR="00E87812" w:rsidRPr="00E729F9">
        <w:rPr>
          <w:szCs w:val="22"/>
        </w:rPr>
        <w:t>However, there</w:t>
      </w:r>
      <w:r w:rsidR="00821EA1" w:rsidRPr="00E729F9">
        <w:rPr>
          <w:szCs w:val="22"/>
        </w:rPr>
        <w:t xml:space="preserve"> </w:t>
      </w:r>
      <w:r w:rsidR="007041A3" w:rsidRPr="00E729F9">
        <w:rPr>
          <w:szCs w:val="22"/>
        </w:rPr>
        <w:t>is</w:t>
      </w:r>
      <w:r w:rsidR="00821EA1" w:rsidRPr="00E729F9">
        <w:rPr>
          <w:szCs w:val="22"/>
        </w:rPr>
        <w:t xml:space="preserve"> </w:t>
      </w:r>
      <w:r w:rsidR="00A1469D" w:rsidRPr="00E729F9">
        <w:rPr>
          <w:szCs w:val="22"/>
        </w:rPr>
        <w:t xml:space="preserve">now </w:t>
      </w:r>
      <w:r w:rsidR="00821EA1" w:rsidRPr="00E729F9">
        <w:rPr>
          <w:szCs w:val="22"/>
        </w:rPr>
        <w:t xml:space="preserve">a </w:t>
      </w:r>
      <w:r w:rsidR="007041A3" w:rsidRPr="00E729F9">
        <w:rPr>
          <w:szCs w:val="22"/>
        </w:rPr>
        <w:t>strong</w:t>
      </w:r>
      <w:r w:rsidR="00821EA1" w:rsidRPr="00E729F9">
        <w:rPr>
          <w:szCs w:val="22"/>
        </w:rPr>
        <w:t xml:space="preserve"> sense that </w:t>
      </w:r>
      <w:r w:rsidR="00A1469D" w:rsidRPr="00E729F9">
        <w:rPr>
          <w:szCs w:val="22"/>
        </w:rPr>
        <w:t xml:space="preserve">the </w:t>
      </w:r>
      <w:r w:rsidRPr="00E729F9">
        <w:rPr>
          <w:szCs w:val="22"/>
        </w:rPr>
        <w:t>apprentice</w:t>
      </w:r>
      <w:r w:rsidR="00E87812" w:rsidRPr="00E729F9">
        <w:rPr>
          <w:szCs w:val="22"/>
        </w:rPr>
        <w:t xml:space="preserve"> </w:t>
      </w:r>
      <w:r w:rsidR="00821EA1" w:rsidRPr="00E729F9">
        <w:rPr>
          <w:szCs w:val="22"/>
        </w:rPr>
        <w:t xml:space="preserve">model is being refocused by </w:t>
      </w:r>
      <w:r w:rsidR="007041A3" w:rsidRPr="00E729F9">
        <w:rPr>
          <w:szCs w:val="22"/>
        </w:rPr>
        <w:t>government</w:t>
      </w:r>
      <w:r w:rsidR="00821EA1" w:rsidRPr="00E729F9">
        <w:rPr>
          <w:szCs w:val="22"/>
        </w:rPr>
        <w:t xml:space="preserve"> to concentrate in making </w:t>
      </w:r>
      <w:r w:rsidR="007041A3" w:rsidRPr="00E729F9">
        <w:rPr>
          <w:szCs w:val="22"/>
        </w:rPr>
        <w:t>apprenticeships</w:t>
      </w:r>
      <w:r w:rsidR="00821EA1" w:rsidRPr="00E729F9">
        <w:rPr>
          <w:szCs w:val="22"/>
        </w:rPr>
        <w:t xml:space="preserve"> </w:t>
      </w:r>
      <w:r w:rsidR="00565443">
        <w:rPr>
          <w:szCs w:val="22"/>
        </w:rPr>
        <w:t>better</w:t>
      </w:r>
      <w:r w:rsidR="00565443" w:rsidRPr="00E729F9">
        <w:rPr>
          <w:szCs w:val="22"/>
        </w:rPr>
        <w:t xml:space="preserve"> </w:t>
      </w:r>
      <w:r w:rsidR="00E87812" w:rsidRPr="00E729F9">
        <w:rPr>
          <w:szCs w:val="22"/>
        </w:rPr>
        <w:t xml:space="preserve">focused on younger workers, more </w:t>
      </w:r>
      <w:r w:rsidR="007041A3" w:rsidRPr="00E729F9">
        <w:rPr>
          <w:szCs w:val="22"/>
        </w:rPr>
        <w:t>rigorous</w:t>
      </w:r>
      <w:r w:rsidR="00821EA1" w:rsidRPr="00E729F9">
        <w:rPr>
          <w:szCs w:val="22"/>
        </w:rPr>
        <w:t xml:space="preserve"> </w:t>
      </w:r>
      <w:r w:rsidR="007041A3" w:rsidRPr="00E729F9">
        <w:rPr>
          <w:szCs w:val="22"/>
        </w:rPr>
        <w:t>and</w:t>
      </w:r>
      <w:r w:rsidR="00821EA1" w:rsidRPr="00E729F9">
        <w:rPr>
          <w:szCs w:val="22"/>
        </w:rPr>
        <w:t xml:space="preserve"> with higher </w:t>
      </w:r>
      <w:r w:rsidR="005721F4" w:rsidRPr="00E729F9">
        <w:rPr>
          <w:szCs w:val="22"/>
        </w:rPr>
        <w:t>expectations</w:t>
      </w:r>
      <w:r w:rsidR="00E87812" w:rsidRPr="00E729F9">
        <w:rPr>
          <w:szCs w:val="22"/>
        </w:rPr>
        <w:t xml:space="preserve">. These goals </w:t>
      </w:r>
      <w:r w:rsidR="00821EA1" w:rsidRPr="00E729F9">
        <w:rPr>
          <w:szCs w:val="22"/>
        </w:rPr>
        <w:t xml:space="preserve">need to be supported by decent </w:t>
      </w:r>
      <w:r w:rsidR="005721F4" w:rsidRPr="00E729F9">
        <w:rPr>
          <w:szCs w:val="22"/>
        </w:rPr>
        <w:t>minimum</w:t>
      </w:r>
      <w:r w:rsidR="00821EA1" w:rsidRPr="00E729F9">
        <w:rPr>
          <w:szCs w:val="22"/>
        </w:rPr>
        <w:t xml:space="preserve"> pay rates. </w:t>
      </w:r>
    </w:p>
    <w:p w:rsidR="006F68B7" w:rsidRPr="00E729F9" w:rsidRDefault="00A1469D" w:rsidP="00E729F9">
      <w:pPr>
        <w:pStyle w:val="T5TextBody"/>
        <w:spacing w:line="276" w:lineRule="auto"/>
        <w:rPr>
          <w:szCs w:val="22"/>
        </w:rPr>
      </w:pPr>
      <w:r w:rsidRPr="00E729F9">
        <w:rPr>
          <w:szCs w:val="22"/>
        </w:rPr>
        <w:t xml:space="preserve">In this context, the TUC also believes that </w:t>
      </w:r>
      <w:r w:rsidR="00565443">
        <w:rPr>
          <w:szCs w:val="22"/>
        </w:rPr>
        <w:t xml:space="preserve">as well as limiting its applicability </w:t>
      </w:r>
      <w:r w:rsidRPr="00E729F9">
        <w:rPr>
          <w:szCs w:val="22"/>
        </w:rPr>
        <w:t xml:space="preserve">there </w:t>
      </w:r>
      <w:r w:rsidR="00821EA1" w:rsidRPr="00E729F9">
        <w:rPr>
          <w:szCs w:val="22"/>
        </w:rPr>
        <w:t xml:space="preserve">is a good case for </w:t>
      </w:r>
      <w:r w:rsidR="005721F4" w:rsidRPr="00E729F9">
        <w:rPr>
          <w:szCs w:val="22"/>
        </w:rPr>
        <w:t>raising</w:t>
      </w:r>
      <w:r w:rsidR="00821EA1" w:rsidRPr="00E729F9">
        <w:rPr>
          <w:szCs w:val="22"/>
        </w:rPr>
        <w:t xml:space="preserve"> the apprentice rate</w:t>
      </w:r>
      <w:r w:rsidR="00E87812" w:rsidRPr="00E729F9">
        <w:rPr>
          <w:szCs w:val="22"/>
        </w:rPr>
        <w:t xml:space="preserve"> strongly</w:t>
      </w:r>
      <w:r w:rsidR="00821EA1" w:rsidRPr="00E729F9">
        <w:rPr>
          <w:szCs w:val="22"/>
        </w:rPr>
        <w:t xml:space="preserve">, or </w:t>
      </w:r>
      <w:r w:rsidR="005721F4" w:rsidRPr="00E729F9">
        <w:rPr>
          <w:szCs w:val="22"/>
        </w:rPr>
        <w:t>even</w:t>
      </w:r>
      <w:r w:rsidR="00821EA1" w:rsidRPr="00E729F9">
        <w:rPr>
          <w:szCs w:val="22"/>
        </w:rPr>
        <w:t xml:space="preserve"> for simply making </w:t>
      </w:r>
      <w:r w:rsidR="005721F4" w:rsidRPr="00E729F9">
        <w:rPr>
          <w:szCs w:val="22"/>
        </w:rPr>
        <w:t>it</w:t>
      </w:r>
      <w:r w:rsidR="00821EA1" w:rsidRPr="00E729F9">
        <w:rPr>
          <w:szCs w:val="22"/>
        </w:rPr>
        <w:t xml:space="preserve"> the same as the 16-17 year old rate, which is </w:t>
      </w:r>
      <w:r w:rsidR="005721F4" w:rsidRPr="00E729F9">
        <w:rPr>
          <w:szCs w:val="22"/>
        </w:rPr>
        <w:t>itself</w:t>
      </w:r>
      <w:r w:rsidR="00821EA1" w:rsidRPr="00E729F9">
        <w:rPr>
          <w:szCs w:val="22"/>
        </w:rPr>
        <w:t xml:space="preserve"> quite modest. Such a </w:t>
      </w:r>
      <w:r w:rsidR="005721F4" w:rsidRPr="00E729F9">
        <w:rPr>
          <w:szCs w:val="22"/>
        </w:rPr>
        <w:t>measure</w:t>
      </w:r>
      <w:r w:rsidR="00821EA1" w:rsidRPr="00E729F9">
        <w:rPr>
          <w:szCs w:val="22"/>
        </w:rPr>
        <w:t xml:space="preserve"> would help to </w:t>
      </w:r>
      <w:r w:rsidR="005721F4" w:rsidRPr="00E729F9">
        <w:rPr>
          <w:szCs w:val="22"/>
        </w:rPr>
        <w:t>prevent</w:t>
      </w:r>
      <w:r w:rsidR="00821EA1" w:rsidRPr="00E729F9">
        <w:rPr>
          <w:szCs w:val="22"/>
        </w:rPr>
        <w:t xml:space="preserve"> </w:t>
      </w:r>
      <w:r w:rsidR="005721F4" w:rsidRPr="00E729F9">
        <w:rPr>
          <w:szCs w:val="22"/>
        </w:rPr>
        <w:t>exploitation</w:t>
      </w:r>
      <w:r w:rsidR="00821EA1" w:rsidRPr="00E729F9">
        <w:rPr>
          <w:szCs w:val="22"/>
        </w:rPr>
        <w:t xml:space="preserve">, would be </w:t>
      </w:r>
      <w:r w:rsidR="005721F4" w:rsidRPr="00E729F9">
        <w:rPr>
          <w:szCs w:val="22"/>
        </w:rPr>
        <w:t>reasonable</w:t>
      </w:r>
      <w:r w:rsidR="00821EA1" w:rsidRPr="00E729F9">
        <w:rPr>
          <w:szCs w:val="22"/>
        </w:rPr>
        <w:t xml:space="preserve"> and affordable, and would have the added </w:t>
      </w:r>
      <w:r w:rsidR="005721F4" w:rsidRPr="00E729F9">
        <w:rPr>
          <w:szCs w:val="22"/>
        </w:rPr>
        <w:t>benefit</w:t>
      </w:r>
      <w:r w:rsidR="00821EA1" w:rsidRPr="00E729F9">
        <w:rPr>
          <w:szCs w:val="22"/>
        </w:rPr>
        <w:t xml:space="preserve"> of </w:t>
      </w:r>
      <w:r w:rsidR="005721F4" w:rsidRPr="00E729F9">
        <w:rPr>
          <w:szCs w:val="22"/>
        </w:rPr>
        <w:t>making</w:t>
      </w:r>
      <w:r w:rsidR="00821EA1" w:rsidRPr="00E729F9">
        <w:rPr>
          <w:szCs w:val="22"/>
        </w:rPr>
        <w:t xml:space="preserve"> the </w:t>
      </w:r>
      <w:r w:rsidR="005721F4" w:rsidRPr="00E729F9">
        <w:rPr>
          <w:szCs w:val="22"/>
        </w:rPr>
        <w:t>minimum</w:t>
      </w:r>
      <w:r w:rsidR="00821EA1" w:rsidRPr="00E729F9">
        <w:rPr>
          <w:szCs w:val="22"/>
        </w:rPr>
        <w:t xml:space="preserve"> wage </w:t>
      </w:r>
      <w:r w:rsidR="005721F4" w:rsidRPr="00E729F9">
        <w:rPr>
          <w:szCs w:val="22"/>
        </w:rPr>
        <w:t>simpler</w:t>
      </w:r>
      <w:r w:rsidR="00821EA1" w:rsidRPr="00E729F9">
        <w:rPr>
          <w:szCs w:val="22"/>
        </w:rPr>
        <w:t xml:space="preserve"> for </w:t>
      </w:r>
      <w:r w:rsidR="00E87812" w:rsidRPr="00E729F9">
        <w:rPr>
          <w:szCs w:val="22"/>
        </w:rPr>
        <w:t xml:space="preserve">both </w:t>
      </w:r>
      <w:r w:rsidR="00821EA1" w:rsidRPr="00E729F9">
        <w:rPr>
          <w:szCs w:val="22"/>
        </w:rPr>
        <w:t>employers</w:t>
      </w:r>
      <w:r w:rsidR="00E87812" w:rsidRPr="00E729F9">
        <w:rPr>
          <w:szCs w:val="22"/>
        </w:rPr>
        <w:t xml:space="preserve"> and </w:t>
      </w:r>
      <w:r w:rsidR="0027794F" w:rsidRPr="00E729F9">
        <w:rPr>
          <w:szCs w:val="22"/>
        </w:rPr>
        <w:t>apprentices</w:t>
      </w:r>
      <w:r w:rsidR="00821EA1" w:rsidRPr="00E729F9">
        <w:rPr>
          <w:szCs w:val="22"/>
        </w:rPr>
        <w:t xml:space="preserve"> to </w:t>
      </w:r>
      <w:r w:rsidR="005721F4" w:rsidRPr="00E729F9">
        <w:rPr>
          <w:szCs w:val="22"/>
        </w:rPr>
        <w:t>understand</w:t>
      </w:r>
    </w:p>
    <w:p w:rsidR="006F68B7" w:rsidRPr="00E729F9" w:rsidRDefault="00160C3C" w:rsidP="00E729F9">
      <w:pPr>
        <w:pStyle w:val="T5TextBody"/>
        <w:spacing w:line="276" w:lineRule="auto"/>
        <w:rPr>
          <w:szCs w:val="22"/>
        </w:rPr>
      </w:pPr>
      <w:r w:rsidRPr="00E729F9">
        <w:rPr>
          <w:szCs w:val="22"/>
        </w:rPr>
        <w:t>The LPC’s concerns will include considering whether the apprentice pay</w:t>
      </w:r>
      <w:r w:rsidRPr="00E729F9">
        <w:rPr>
          <w:rFonts w:cs="Arial"/>
          <w:snapToGrid/>
          <w:color w:val="000000"/>
          <w:szCs w:val="22"/>
          <w:lang w:eastAsia="en-GB"/>
        </w:rPr>
        <w:t xml:space="preserve"> structure could be made simpler and improving compliance, as well as setting an </w:t>
      </w:r>
      <w:r w:rsidR="00E11694" w:rsidRPr="00E729F9">
        <w:rPr>
          <w:rFonts w:cs="Arial"/>
          <w:snapToGrid/>
          <w:color w:val="000000"/>
          <w:szCs w:val="22"/>
          <w:lang w:eastAsia="en-GB"/>
        </w:rPr>
        <w:t>appropriate rate</w:t>
      </w:r>
      <w:r w:rsidRPr="00E729F9">
        <w:rPr>
          <w:rFonts w:cs="Arial"/>
          <w:snapToGrid/>
          <w:color w:val="000000"/>
          <w:szCs w:val="22"/>
          <w:lang w:eastAsia="en-GB"/>
        </w:rPr>
        <w:t xml:space="preserve"> of pay for Apprentices. </w:t>
      </w:r>
    </w:p>
    <w:p w:rsidR="006F68B7" w:rsidRPr="00E729F9" w:rsidRDefault="00C536F9" w:rsidP="00E729F9">
      <w:pPr>
        <w:pStyle w:val="T5TextBody"/>
        <w:spacing w:line="276" w:lineRule="auto"/>
        <w:rPr>
          <w:szCs w:val="22"/>
        </w:rPr>
      </w:pPr>
      <w:r w:rsidRPr="00E729F9">
        <w:rPr>
          <w:szCs w:val="22"/>
        </w:rPr>
        <w:t xml:space="preserve">These </w:t>
      </w:r>
      <w:r w:rsidR="002B25E5" w:rsidRPr="00E729F9">
        <w:rPr>
          <w:szCs w:val="22"/>
        </w:rPr>
        <w:t>considerations combine</w:t>
      </w:r>
      <w:r w:rsidRPr="00E729F9">
        <w:rPr>
          <w:szCs w:val="22"/>
        </w:rPr>
        <w:t xml:space="preserve"> </w:t>
      </w:r>
      <w:r w:rsidR="005721F4" w:rsidRPr="00E729F9">
        <w:rPr>
          <w:szCs w:val="22"/>
        </w:rPr>
        <w:t>with</w:t>
      </w:r>
      <w:r w:rsidRPr="00E729F9">
        <w:rPr>
          <w:szCs w:val="22"/>
        </w:rPr>
        <w:t xml:space="preserve"> </w:t>
      </w:r>
      <w:r w:rsidR="005721F4" w:rsidRPr="00E729F9">
        <w:rPr>
          <w:szCs w:val="22"/>
        </w:rPr>
        <w:t>our</w:t>
      </w:r>
      <w:r w:rsidRPr="00E729F9">
        <w:rPr>
          <w:szCs w:val="22"/>
        </w:rPr>
        <w:t xml:space="preserve"> general view of the </w:t>
      </w:r>
      <w:r w:rsidR="005721F4" w:rsidRPr="00E729F9">
        <w:rPr>
          <w:szCs w:val="22"/>
        </w:rPr>
        <w:t>current</w:t>
      </w:r>
      <w:r w:rsidRPr="00E729F9">
        <w:rPr>
          <w:szCs w:val="22"/>
        </w:rPr>
        <w:t xml:space="preserve"> </w:t>
      </w:r>
      <w:r w:rsidR="005721F4" w:rsidRPr="00E729F9">
        <w:rPr>
          <w:szCs w:val="22"/>
        </w:rPr>
        <w:t>state</w:t>
      </w:r>
      <w:r w:rsidRPr="00E729F9">
        <w:rPr>
          <w:szCs w:val="22"/>
        </w:rPr>
        <w:t xml:space="preserve"> of </w:t>
      </w:r>
      <w:r w:rsidR="005721F4" w:rsidRPr="00E729F9">
        <w:rPr>
          <w:szCs w:val="22"/>
        </w:rPr>
        <w:t>apprenticeships</w:t>
      </w:r>
      <w:r w:rsidRPr="00E729F9">
        <w:rPr>
          <w:szCs w:val="22"/>
        </w:rPr>
        <w:t xml:space="preserve"> and </w:t>
      </w:r>
      <w:r w:rsidR="00813E75" w:rsidRPr="00E729F9">
        <w:rPr>
          <w:szCs w:val="22"/>
        </w:rPr>
        <w:t>our</w:t>
      </w:r>
      <w:r w:rsidRPr="00E729F9">
        <w:rPr>
          <w:szCs w:val="22"/>
        </w:rPr>
        <w:t xml:space="preserve"> vision of where the brand should go in the future to lead us to </w:t>
      </w:r>
      <w:r w:rsidR="006F68B7" w:rsidRPr="00E729F9">
        <w:rPr>
          <w:szCs w:val="22"/>
        </w:rPr>
        <w:t xml:space="preserve">call for </w:t>
      </w:r>
      <w:r w:rsidRPr="00E729F9">
        <w:rPr>
          <w:szCs w:val="22"/>
        </w:rPr>
        <w:t xml:space="preserve">the </w:t>
      </w:r>
      <w:r w:rsidR="00E11694" w:rsidRPr="00E729F9">
        <w:rPr>
          <w:szCs w:val="22"/>
        </w:rPr>
        <w:t>following changes</w:t>
      </w:r>
      <w:r w:rsidRPr="00E729F9">
        <w:rPr>
          <w:szCs w:val="22"/>
        </w:rPr>
        <w:t>:</w:t>
      </w:r>
    </w:p>
    <w:p w:rsidR="00C536F9" w:rsidRPr="00A1347C" w:rsidRDefault="00821EA1" w:rsidP="0093010E">
      <w:pPr>
        <w:pStyle w:val="T5TextBody"/>
        <w:rPr>
          <w:b/>
          <w:i/>
        </w:rPr>
      </w:pPr>
      <w:r w:rsidRPr="00A1347C">
        <w:rPr>
          <w:b/>
          <w:i/>
        </w:rPr>
        <w:t>The TUC recommends that f</w:t>
      </w:r>
      <w:r w:rsidR="00C536F9" w:rsidRPr="00A1347C">
        <w:rPr>
          <w:b/>
          <w:i/>
        </w:rPr>
        <w:t xml:space="preserve">rom </w:t>
      </w:r>
      <w:r w:rsidR="00813E75" w:rsidRPr="00A1347C">
        <w:rPr>
          <w:b/>
          <w:i/>
        </w:rPr>
        <w:t>October</w:t>
      </w:r>
      <w:r w:rsidR="00C536F9" w:rsidRPr="00A1347C">
        <w:rPr>
          <w:b/>
          <w:i/>
        </w:rPr>
        <w:t xml:space="preserve"> 2015 </w:t>
      </w:r>
      <w:r w:rsidR="00813E75" w:rsidRPr="00A1347C">
        <w:rPr>
          <w:b/>
          <w:i/>
        </w:rPr>
        <w:t>onwards</w:t>
      </w:r>
      <w:r w:rsidR="00C536F9" w:rsidRPr="00A1347C">
        <w:rPr>
          <w:b/>
          <w:i/>
        </w:rPr>
        <w:t xml:space="preserve">, the </w:t>
      </w:r>
      <w:r w:rsidR="002B25E5" w:rsidRPr="00A1347C">
        <w:rPr>
          <w:b/>
          <w:i/>
        </w:rPr>
        <w:t>apprentice rate</w:t>
      </w:r>
      <w:r w:rsidR="00C536F9" w:rsidRPr="00A1347C">
        <w:rPr>
          <w:b/>
          <w:i/>
        </w:rPr>
        <w:t xml:space="preserve"> should only apply to those undertaking </w:t>
      </w:r>
      <w:r w:rsidR="00813E75" w:rsidRPr="00A1347C">
        <w:rPr>
          <w:b/>
          <w:i/>
        </w:rPr>
        <w:t>intermediate</w:t>
      </w:r>
      <w:r w:rsidR="00C536F9" w:rsidRPr="00A1347C">
        <w:rPr>
          <w:b/>
          <w:i/>
        </w:rPr>
        <w:t xml:space="preserve"> level </w:t>
      </w:r>
      <w:r w:rsidR="00813E75" w:rsidRPr="00A1347C">
        <w:rPr>
          <w:b/>
          <w:i/>
        </w:rPr>
        <w:t>apprentices</w:t>
      </w:r>
      <w:r w:rsidR="00C536F9" w:rsidRPr="00A1347C">
        <w:rPr>
          <w:b/>
          <w:i/>
        </w:rPr>
        <w:t xml:space="preserve"> who are aged </w:t>
      </w:r>
      <w:r w:rsidR="00813E75" w:rsidRPr="00A1347C">
        <w:rPr>
          <w:b/>
          <w:i/>
        </w:rPr>
        <w:t>16-18</w:t>
      </w:r>
      <w:r w:rsidRPr="00A1347C">
        <w:rPr>
          <w:b/>
          <w:i/>
        </w:rPr>
        <w:t xml:space="preserve"> and to 19-20 year olds in the </w:t>
      </w:r>
      <w:r w:rsidR="00813E75" w:rsidRPr="00A1347C">
        <w:rPr>
          <w:b/>
          <w:i/>
        </w:rPr>
        <w:t>first</w:t>
      </w:r>
      <w:r w:rsidRPr="00A1347C">
        <w:rPr>
          <w:b/>
          <w:i/>
        </w:rPr>
        <w:t xml:space="preserve"> year of their </w:t>
      </w:r>
      <w:r w:rsidR="00813E75" w:rsidRPr="00A1347C">
        <w:rPr>
          <w:b/>
          <w:i/>
        </w:rPr>
        <w:t>apprenticeship</w:t>
      </w:r>
      <w:r w:rsidRPr="00A1347C">
        <w:rPr>
          <w:b/>
          <w:i/>
        </w:rPr>
        <w:t>.</w:t>
      </w:r>
      <w:r w:rsidR="00C536F9" w:rsidRPr="00A1347C">
        <w:rPr>
          <w:b/>
          <w:i/>
        </w:rPr>
        <w:t xml:space="preserve"> </w:t>
      </w:r>
      <w:r w:rsidRPr="00A1347C">
        <w:rPr>
          <w:b/>
          <w:i/>
        </w:rPr>
        <w:t xml:space="preserve"> In </w:t>
      </w:r>
      <w:r w:rsidRPr="00A1347C">
        <w:rPr>
          <w:b/>
          <w:i/>
        </w:rPr>
        <w:lastRenderedPageBreak/>
        <w:t xml:space="preserve">addition, the LPC should consider setting the apprentice rate of the </w:t>
      </w:r>
      <w:r w:rsidR="00813E75" w:rsidRPr="00A1347C">
        <w:rPr>
          <w:b/>
          <w:i/>
        </w:rPr>
        <w:t>minimum</w:t>
      </w:r>
      <w:r w:rsidRPr="00A1347C">
        <w:rPr>
          <w:b/>
          <w:i/>
        </w:rPr>
        <w:t xml:space="preserve"> wage at the same level as the youth rate</w:t>
      </w:r>
      <w:r w:rsidR="00AE1CEB" w:rsidRPr="00A1347C">
        <w:rPr>
          <w:b/>
          <w:i/>
        </w:rPr>
        <w:t>.</w:t>
      </w:r>
      <w:r w:rsidRPr="00A1347C">
        <w:rPr>
          <w:b/>
          <w:i/>
        </w:rPr>
        <w:t xml:space="preserve"> </w:t>
      </w:r>
      <w:r w:rsidR="006F68B7" w:rsidRPr="00A1347C">
        <w:rPr>
          <w:b/>
          <w:i/>
        </w:rPr>
        <w:t xml:space="preserve"> </w:t>
      </w:r>
      <w:r w:rsidR="00A1347C" w:rsidRPr="00A1347C">
        <w:rPr>
          <w:b/>
          <w:i/>
        </w:rPr>
        <w:t>O</w:t>
      </w:r>
      <w:r w:rsidR="006F68B7" w:rsidRPr="00A1347C">
        <w:rPr>
          <w:b/>
          <w:i/>
        </w:rPr>
        <w:t xml:space="preserve">ther apprentices should be paid the relevant </w:t>
      </w:r>
      <w:r w:rsidR="003712C5">
        <w:rPr>
          <w:b/>
          <w:i/>
        </w:rPr>
        <w:t>general age-based rate of the NMW</w:t>
      </w:r>
      <w:r w:rsidR="00565443">
        <w:rPr>
          <w:b/>
          <w:i/>
        </w:rPr>
        <w:t>.</w:t>
      </w:r>
    </w:p>
    <w:p w:rsidR="00C536F9" w:rsidRDefault="00C536F9" w:rsidP="0093010E">
      <w:pPr>
        <w:pStyle w:val="T5TextBody"/>
        <w:rPr>
          <w:rFonts w:ascii="Frutiger 55" w:hAnsi="Frutiger 55"/>
          <w:b/>
        </w:rPr>
      </w:pPr>
    </w:p>
    <w:p w:rsidR="0027378E" w:rsidRDefault="0027378E" w:rsidP="0093010E">
      <w:pPr>
        <w:pStyle w:val="T5TextBody"/>
        <w:rPr>
          <w:rFonts w:ascii="Frutiger 55" w:hAnsi="Frutiger 55"/>
          <w:b/>
        </w:rPr>
      </w:pPr>
      <w:r w:rsidRPr="0027378E">
        <w:rPr>
          <w:rFonts w:ascii="Frutiger 55" w:hAnsi="Frutiger 55"/>
          <w:b/>
        </w:rPr>
        <w:t xml:space="preserve">7: </w:t>
      </w:r>
      <w:r w:rsidR="00813E75" w:rsidRPr="0027378E">
        <w:rPr>
          <w:rFonts w:ascii="Frutiger 55" w:hAnsi="Frutiger 55"/>
          <w:b/>
        </w:rPr>
        <w:t>The</w:t>
      </w:r>
      <w:r w:rsidRPr="0027378E">
        <w:rPr>
          <w:rFonts w:ascii="Frutiger 55" w:hAnsi="Frutiger 55"/>
          <w:b/>
        </w:rPr>
        <w:t xml:space="preserve"> TUC’s rate </w:t>
      </w:r>
      <w:r w:rsidR="00813E75" w:rsidRPr="0027378E">
        <w:rPr>
          <w:rFonts w:ascii="Frutiger 55" w:hAnsi="Frutiger 55"/>
          <w:b/>
        </w:rPr>
        <w:t>recommendations</w:t>
      </w:r>
      <w:r w:rsidRPr="0027378E">
        <w:rPr>
          <w:rFonts w:ascii="Frutiger 55" w:hAnsi="Frutiger 55"/>
          <w:b/>
        </w:rPr>
        <w:t xml:space="preserve"> for 2015/16</w:t>
      </w:r>
    </w:p>
    <w:p w:rsidR="00DE3149" w:rsidRPr="00DE3149" w:rsidRDefault="00DE3149" w:rsidP="00DE3149">
      <w:pPr>
        <w:pStyle w:val="T5TextBody"/>
        <w:spacing w:line="276" w:lineRule="auto"/>
      </w:pPr>
      <w:r w:rsidRPr="00DE3149">
        <w:t xml:space="preserve">As reported in sections 3 </w:t>
      </w:r>
      <w:r w:rsidR="00813E75" w:rsidRPr="00DE3149">
        <w:t>and</w:t>
      </w:r>
      <w:r w:rsidRPr="00DE3149">
        <w:t xml:space="preserve"> 4, economic growth is returning to the UK economy and employment numbers </w:t>
      </w:r>
      <w:r w:rsidR="00813E75" w:rsidRPr="00DE3149">
        <w:t>a</w:t>
      </w:r>
      <w:r w:rsidR="00813E75">
        <w:t>re</w:t>
      </w:r>
      <w:r w:rsidRPr="00DE3149">
        <w:t xml:space="preserve"> </w:t>
      </w:r>
      <w:r w:rsidR="002E57D4">
        <w:t>increasing</w:t>
      </w:r>
      <w:r w:rsidRPr="00DE3149">
        <w:t xml:space="preserve"> very rapidly. </w:t>
      </w:r>
      <w:r w:rsidR="00813E75" w:rsidRPr="00DE3149">
        <w:t>Forecasts</w:t>
      </w:r>
      <w:r w:rsidRPr="00DE3149">
        <w:t xml:space="preserve"> indicate that this </w:t>
      </w:r>
      <w:r w:rsidR="00813E75" w:rsidRPr="00DE3149">
        <w:t>trend</w:t>
      </w:r>
      <w:r w:rsidRPr="00DE3149">
        <w:t xml:space="preserve"> is set to </w:t>
      </w:r>
      <w:r w:rsidR="00813E75" w:rsidRPr="00DE3149">
        <w:t>accelerate</w:t>
      </w:r>
      <w:r w:rsidRPr="00DE3149">
        <w:t xml:space="preserve"> during the next two </w:t>
      </w:r>
      <w:r w:rsidR="00813E75" w:rsidRPr="00DE3149">
        <w:t>years</w:t>
      </w:r>
      <w:r w:rsidRPr="00DE3149">
        <w:t xml:space="preserve">, with pay </w:t>
      </w:r>
      <w:r w:rsidR="00565443">
        <w:t xml:space="preserve">growth </w:t>
      </w:r>
      <w:r w:rsidR="00A1469D">
        <w:t xml:space="preserve">measures also </w:t>
      </w:r>
      <w:r w:rsidRPr="00DE3149">
        <w:t>picking up</w:t>
      </w:r>
      <w:r w:rsidR="00A1469D">
        <w:t xml:space="preserve"> and settlements likely to grow more strongly</w:t>
      </w:r>
      <w:r w:rsidRPr="00DE3149">
        <w:t xml:space="preserve">. </w:t>
      </w:r>
      <w:r w:rsidR="00813E75" w:rsidRPr="00DE3149">
        <w:t>In addition, a number of key independ</w:t>
      </w:r>
      <w:r w:rsidR="00813E75">
        <w:t>e</w:t>
      </w:r>
      <w:r w:rsidR="00813E75" w:rsidRPr="00DE3149">
        <w:t xml:space="preserve">nt commentators </w:t>
      </w:r>
      <w:r w:rsidR="00A1469D">
        <w:t>have referenced the imperative of</w:t>
      </w:r>
      <w:r w:rsidR="00A1469D" w:rsidRPr="00DE3149">
        <w:t xml:space="preserve"> </w:t>
      </w:r>
      <w:r w:rsidR="00813E75" w:rsidRPr="00DE3149">
        <w:t xml:space="preserve">pay growth </w:t>
      </w:r>
      <w:r w:rsidR="002E57D4">
        <w:t>strengthening</w:t>
      </w:r>
      <w:r w:rsidR="00813E75">
        <w:t xml:space="preserve"> in</w:t>
      </w:r>
      <w:r w:rsidR="00813E75" w:rsidRPr="00DE3149">
        <w:t xml:space="preserve"> order to entrench the recovery.</w:t>
      </w:r>
    </w:p>
    <w:p w:rsidR="00FA1417" w:rsidRDefault="00A1469D" w:rsidP="00E729F9">
      <w:pPr>
        <w:pStyle w:val="T5TextBody"/>
        <w:spacing w:line="276" w:lineRule="auto"/>
        <w:rPr>
          <w:szCs w:val="22"/>
        </w:rPr>
      </w:pPr>
      <w:r w:rsidRPr="00E729F9">
        <w:rPr>
          <w:szCs w:val="22"/>
        </w:rPr>
        <w:t>T</w:t>
      </w:r>
      <w:r w:rsidR="00DE3149" w:rsidRPr="00E729F9">
        <w:rPr>
          <w:szCs w:val="22"/>
        </w:rPr>
        <w:t xml:space="preserve">he TUC has often argued that there has been more </w:t>
      </w:r>
      <w:r w:rsidR="00813E75" w:rsidRPr="00E729F9">
        <w:rPr>
          <w:szCs w:val="22"/>
        </w:rPr>
        <w:t>headroom</w:t>
      </w:r>
      <w:r w:rsidR="00DE3149" w:rsidRPr="00E729F9">
        <w:rPr>
          <w:szCs w:val="22"/>
        </w:rPr>
        <w:t xml:space="preserve"> to increase the national </w:t>
      </w:r>
      <w:r w:rsidR="00813E75" w:rsidRPr="00E729F9">
        <w:rPr>
          <w:szCs w:val="22"/>
        </w:rPr>
        <w:t>minimum</w:t>
      </w:r>
      <w:r w:rsidR="00DE3149" w:rsidRPr="00E729F9">
        <w:rPr>
          <w:szCs w:val="22"/>
        </w:rPr>
        <w:t xml:space="preserve"> wage without causing detrimental effects </w:t>
      </w:r>
      <w:r w:rsidR="00813E75" w:rsidRPr="00E729F9">
        <w:rPr>
          <w:szCs w:val="22"/>
        </w:rPr>
        <w:t>than</w:t>
      </w:r>
      <w:r w:rsidR="00DE3149" w:rsidRPr="00E729F9">
        <w:rPr>
          <w:szCs w:val="22"/>
        </w:rPr>
        <w:t xml:space="preserve"> most other commentators would have allowed. </w:t>
      </w:r>
      <w:r w:rsidRPr="00E729F9">
        <w:rPr>
          <w:szCs w:val="22"/>
        </w:rPr>
        <w:t>We have therefore welcomed the results from a number of recent econometric studies, which suggest that there is substantial scope for significant NMW rises.</w:t>
      </w:r>
      <w:r w:rsidRPr="00E729F9">
        <w:rPr>
          <w:rStyle w:val="FootnoteReference"/>
          <w:sz w:val="22"/>
          <w:szCs w:val="22"/>
        </w:rPr>
        <w:t xml:space="preserve"> </w:t>
      </w:r>
    </w:p>
    <w:p w:rsidR="00DE3149" w:rsidRDefault="00FA1417" w:rsidP="00E729F9">
      <w:pPr>
        <w:pStyle w:val="T5TextBody"/>
        <w:spacing w:line="276" w:lineRule="auto"/>
        <w:rPr>
          <w:szCs w:val="22"/>
        </w:rPr>
      </w:pPr>
      <w:r>
        <w:t>As previously reported,  research carried out for the IPPR by NIESR was reported that paying the living wage would be likely to generate much smaller job losses than might have been expected.</w:t>
      </w:r>
      <w:r w:rsidR="00A1469D" w:rsidRPr="00E729F9">
        <w:rPr>
          <w:rStyle w:val="FootnoteReference"/>
          <w:sz w:val="22"/>
          <w:szCs w:val="22"/>
        </w:rPr>
        <w:footnoteReference w:id="44"/>
      </w:r>
      <w:r w:rsidR="00A1469D" w:rsidRPr="00E729F9">
        <w:rPr>
          <w:szCs w:val="22"/>
        </w:rPr>
        <w:t xml:space="preserve"> </w:t>
      </w:r>
    </w:p>
    <w:p w:rsidR="00FA1417" w:rsidRDefault="00D46FB9" w:rsidP="00E729F9">
      <w:pPr>
        <w:pStyle w:val="T5TextBody"/>
        <w:spacing w:line="276" w:lineRule="auto"/>
        <w:rPr>
          <w:szCs w:val="22"/>
        </w:rPr>
      </w:pPr>
      <w:r w:rsidRPr="00754B57">
        <w:rPr>
          <w:szCs w:val="22"/>
        </w:rPr>
        <w:t>However</w:t>
      </w:r>
      <w:r w:rsidR="003B4759" w:rsidRPr="003B4759">
        <w:rPr>
          <w:szCs w:val="22"/>
        </w:rPr>
        <w:t>, a more recent report by Landman economics argued that the IPPR report was excessively pessimistic</w:t>
      </w:r>
      <w:r w:rsidR="00754B57">
        <w:rPr>
          <w:szCs w:val="22"/>
        </w:rPr>
        <w:t xml:space="preserve">. </w:t>
      </w:r>
      <w:r w:rsidR="00754B57" w:rsidRPr="00754B57">
        <w:rPr>
          <w:rStyle w:val="FootnoteReference"/>
          <w:sz w:val="22"/>
          <w:szCs w:val="22"/>
        </w:rPr>
        <w:footnoteReference w:id="45"/>
      </w:r>
      <w:r w:rsidR="00754B57">
        <w:rPr>
          <w:szCs w:val="22"/>
        </w:rPr>
        <w:t xml:space="preserve"> This report modelled the effects of adopting the living wage as a statutory </w:t>
      </w:r>
      <w:r>
        <w:rPr>
          <w:szCs w:val="22"/>
        </w:rPr>
        <w:t>standard</w:t>
      </w:r>
      <w:r w:rsidR="003B4759" w:rsidRPr="003B4759">
        <w:rPr>
          <w:szCs w:val="22"/>
        </w:rPr>
        <w:t xml:space="preserve">. </w:t>
      </w:r>
      <w:r>
        <w:rPr>
          <w:szCs w:val="22"/>
        </w:rPr>
        <w:t>This demonstrated some significant offsetting economic benefits deriving from the increase in wages. It is argued that  the resulting income growth would lead to an economic stimulus that would generate a £3.1 billion pound increase in GDP and the creation of 64,000 new jobs, off-setting, at least in part, the possible displacement identified in the IPPR’s earlier report.</w:t>
      </w:r>
    </w:p>
    <w:p w:rsidR="006A37D6" w:rsidRPr="00754B57" w:rsidRDefault="006A37D6" w:rsidP="00E729F9">
      <w:pPr>
        <w:pStyle w:val="T5TextBody"/>
        <w:spacing w:line="276" w:lineRule="auto"/>
        <w:rPr>
          <w:szCs w:val="22"/>
        </w:rPr>
      </w:pPr>
      <w:r>
        <w:rPr>
          <w:szCs w:val="22"/>
        </w:rPr>
        <w:t xml:space="preserve">The TUC’s view is that the positive stimulus effect of wage increases has been rather understudied in the UK. We hope that the LPC will give it due </w:t>
      </w:r>
      <w:r w:rsidR="00D46FB9">
        <w:rPr>
          <w:szCs w:val="22"/>
        </w:rPr>
        <w:t>consideration</w:t>
      </w:r>
      <w:r>
        <w:rPr>
          <w:szCs w:val="22"/>
        </w:rPr>
        <w:t xml:space="preserve"> during its </w:t>
      </w:r>
      <w:r w:rsidR="00D46FB9">
        <w:rPr>
          <w:szCs w:val="22"/>
        </w:rPr>
        <w:t>current</w:t>
      </w:r>
      <w:r>
        <w:rPr>
          <w:szCs w:val="22"/>
        </w:rPr>
        <w:t xml:space="preserve"> </w:t>
      </w:r>
      <w:r w:rsidR="00D46FB9">
        <w:rPr>
          <w:szCs w:val="22"/>
        </w:rPr>
        <w:t>deliberations</w:t>
      </w:r>
      <w:r>
        <w:rPr>
          <w:szCs w:val="22"/>
        </w:rPr>
        <w:t>.</w:t>
      </w:r>
    </w:p>
    <w:p w:rsidR="009F25FC" w:rsidRPr="00E729F9" w:rsidRDefault="00813E75" w:rsidP="00E729F9">
      <w:pPr>
        <w:pStyle w:val="T5TextBody"/>
        <w:spacing w:line="276" w:lineRule="auto"/>
        <w:rPr>
          <w:szCs w:val="22"/>
        </w:rPr>
      </w:pPr>
      <w:r w:rsidRPr="00E729F9">
        <w:rPr>
          <w:szCs w:val="22"/>
        </w:rPr>
        <w:t xml:space="preserve">Perhaps unsurprisingly, HMT have been </w:t>
      </w:r>
      <w:r w:rsidR="006A37D6">
        <w:rPr>
          <w:szCs w:val="22"/>
        </w:rPr>
        <w:t xml:space="preserve">much </w:t>
      </w:r>
      <w:r w:rsidRPr="00E729F9">
        <w:rPr>
          <w:szCs w:val="22"/>
        </w:rPr>
        <w:t>more guarded</w:t>
      </w:r>
      <w:r w:rsidR="002E57D4">
        <w:rPr>
          <w:szCs w:val="22"/>
        </w:rPr>
        <w:t>,</w:t>
      </w:r>
      <w:r w:rsidRPr="00E729F9">
        <w:rPr>
          <w:szCs w:val="22"/>
        </w:rPr>
        <w:t xml:space="preserve"> </w:t>
      </w:r>
      <w:r w:rsidR="00A1469D" w:rsidRPr="00E729F9">
        <w:rPr>
          <w:szCs w:val="22"/>
        </w:rPr>
        <w:t xml:space="preserve">but have </w:t>
      </w:r>
      <w:r w:rsidRPr="00E729F9">
        <w:rPr>
          <w:szCs w:val="22"/>
        </w:rPr>
        <w:t xml:space="preserve">still </w:t>
      </w:r>
      <w:r w:rsidR="00A82A2B" w:rsidRPr="00E729F9">
        <w:rPr>
          <w:szCs w:val="22"/>
        </w:rPr>
        <w:t>found themselves</w:t>
      </w:r>
      <w:r w:rsidRPr="00E729F9">
        <w:rPr>
          <w:szCs w:val="22"/>
        </w:rPr>
        <w:t xml:space="preserve"> able to suggest that raising the minimum wage to £7.00 this year would only have very modest negative side-effects at the worst, </w:t>
      </w:r>
      <w:r w:rsidR="00D46FB9">
        <w:rPr>
          <w:szCs w:val="22"/>
        </w:rPr>
        <w:t>qualifying</w:t>
      </w:r>
      <w:r w:rsidR="006A37D6">
        <w:rPr>
          <w:szCs w:val="22"/>
        </w:rPr>
        <w:t xml:space="preserve"> this fear by </w:t>
      </w:r>
      <w:r w:rsidRPr="00E729F9">
        <w:rPr>
          <w:szCs w:val="22"/>
        </w:rPr>
        <w:t xml:space="preserve">noting that “the empirical evidence on employment effects of the NMW </w:t>
      </w:r>
      <w:r w:rsidRPr="00E729F9">
        <w:rPr>
          <w:szCs w:val="22"/>
        </w:rPr>
        <w:lastRenderedPageBreak/>
        <w:t>through jobs rather than hours is inconclusive”</w:t>
      </w:r>
      <w:r w:rsidRPr="00E729F9">
        <w:rPr>
          <w:rStyle w:val="FootnoteReference"/>
          <w:sz w:val="22"/>
          <w:szCs w:val="22"/>
        </w:rPr>
        <w:footnoteReference w:id="46"/>
      </w:r>
      <w:r w:rsidRPr="00E729F9">
        <w:rPr>
          <w:szCs w:val="22"/>
        </w:rPr>
        <w:t xml:space="preserve">. </w:t>
      </w:r>
      <w:r w:rsidR="002443DD" w:rsidRPr="00E729F9">
        <w:rPr>
          <w:szCs w:val="22"/>
        </w:rPr>
        <w:t xml:space="preserve">The sharp improvement in </w:t>
      </w:r>
      <w:r w:rsidR="00A1347C" w:rsidRPr="00E729F9">
        <w:rPr>
          <w:szCs w:val="22"/>
        </w:rPr>
        <w:t>the</w:t>
      </w:r>
      <w:r w:rsidR="002443DD" w:rsidRPr="00E729F9">
        <w:rPr>
          <w:szCs w:val="22"/>
        </w:rPr>
        <w:t xml:space="preserve"> labour </w:t>
      </w:r>
      <w:r w:rsidR="00A1347C" w:rsidRPr="00E729F9">
        <w:rPr>
          <w:szCs w:val="22"/>
        </w:rPr>
        <w:t>market</w:t>
      </w:r>
      <w:r w:rsidR="002443DD" w:rsidRPr="00E729F9">
        <w:rPr>
          <w:szCs w:val="22"/>
        </w:rPr>
        <w:t xml:space="preserve"> during the past year has </w:t>
      </w:r>
      <w:r w:rsidR="00A1347C" w:rsidRPr="00E729F9">
        <w:rPr>
          <w:szCs w:val="22"/>
        </w:rPr>
        <w:t>outstripped</w:t>
      </w:r>
      <w:r w:rsidR="002443DD" w:rsidRPr="00E729F9">
        <w:rPr>
          <w:szCs w:val="22"/>
        </w:rPr>
        <w:t xml:space="preserve"> many </w:t>
      </w:r>
      <w:r w:rsidR="00A1347C" w:rsidRPr="00E729F9">
        <w:rPr>
          <w:szCs w:val="22"/>
        </w:rPr>
        <w:t>of</w:t>
      </w:r>
      <w:r w:rsidR="002443DD" w:rsidRPr="00E729F9">
        <w:rPr>
          <w:szCs w:val="22"/>
        </w:rPr>
        <w:t xml:space="preserve"> the assumptions made in </w:t>
      </w:r>
      <w:r w:rsidR="00A1347C" w:rsidRPr="00E729F9">
        <w:rPr>
          <w:szCs w:val="22"/>
        </w:rPr>
        <w:t>the</w:t>
      </w:r>
      <w:r w:rsidR="002443DD" w:rsidRPr="00E729F9">
        <w:rPr>
          <w:szCs w:val="22"/>
        </w:rPr>
        <w:t xml:space="preserve"> </w:t>
      </w:r>
      <w:r w:rsidR="00A1347C" w:rsidRPr="00E729F9">
        <w:rPr>
          <w:szCs w:val="22"/>
        </w:rPr>
        <w:t>Treasury</w:t>
      </w:r>
      <w:r w:rsidR="002E57D4">
        <w:rPr>
          <w:szCs w:val="22"/>
        </w:rPr>
        <w:t>’s</w:t>
      </w:r>
      <w:r w:rsidR="002443DD" w:rsidRPr="00E729F9">
        <w:rPr>
          <w:szCs w:val="22"/>
        </w:rPr>
        <w:t xml:space="preserve"> </w:t>
      </w:r>
      <w:r w:rsidR="00A1347C" w:rsidRPr="00E729F9">
        <w:rPr>
          <w:szCs w:val="22"/>
        </w:rPr>
        <w:t>evidence</w:t>
      </w:r>
      <w:r w:rsidR="002443DD" w:rsidRPr="00E729F9">
        <w:rPr>
          <w:szCs w:val="22"/>
        </w:rPr>
        <w:t>. T</w:t>
      </w:r>
      <w:r w:rsidRPr="00E729F9">
        <w:rPr>
          <w:szCs w:val="22"/>
        </w:rPr>
        <w:t xml:space="preserve">his suggests that an increase in the adult rate to £7.00 per hour </w:t>
      </w:r>
      <w:r w:rsidR="002443DD" w:rsidRPr="00E729F9">
        <w:rPr>
          <w:szCs w:val="22"/>
        </w:rPr>
        <w:t xml:space="preserve">and beyond </w:t>
      </w:r>
      <w:r w:rsidRPr="00E729F9">
        <w:rPr>
          <w:szCs w:val="22"/>
        </w:rPr>
        <w:t xml:space="preserve">should be very easily absorbed by October 2015, </w:t>
      </w:r>
      <w:r w:rsidR="00A1469D" w:rsidRPr="00E729F9">
        <w:rPr>
          <w:szCs w:val="22"/>
        </w:rPr>
        <w:t>particularly given the</w:t>
      </w:r>
      <w:r w:rsidRPr="00E729F9">
        <w:rPr>
          <w:szCs w:val="22"/>
        </w:rPr>
        <w:t xml:space="preserve"> consensus that the economy will continue to improve during the coming year</w:t>
      </w:r>
      <w:r w:rsidR="00565443">
        <w:rPr>
          <w:szCs w:val="22"/>
        </w:rPr>
        <w:t>.</w:t>
      </w:r>
      <w:r w:rsidR="00A1469D" w:rsidRPr="00E729F9">
        <w:rPr>
          <w:szCs w:val="22"/>
        </w:rPr>
        <w:t xml:space="preserve"> </w:t>
      </w:r>
    </w:p>
    <w:p w:rsidR="00A1469D" w:rsidRPr="00E729F9" w:rsidRDefault="002443DD" w:rsidP="00E729F9">
      <w:pPr>
        <w:widowControl/>
        <w:autoSpaceDE w:val="0"/>
        <w:autoSpaceDN w:val="0"/>
        <w:adjustRightInd w:val="0"/>
        <w:spacing w:line="276" w:lineRule="auto"/>
        <w:rPr>
          <w:rFonts w:ascii="Sabon" w:hAnsi="Sabon" w:cs="Arial"/>
          <w:snapToGrid/>
          <w:color w:val="000000"/>
          <w:sz w:val="22"/>
          <w:szCs w:val="22"/>
          <w:lang w:eastAsia="en-GB"/>
        </w:rPr>
      </w:pPr>
      <w:r w:rsidRPr="00E729F9">
        <w:rPr>
          <w:rFonts w:ascii="Sabon" w:hAnsi="Sabon"/>
          <w:sz w:val="22"/>
          <w:szCs w:val="22"/>
        </w:rPr>
        <w:t>T</w:t>
      </w:r>
      <w:r w:rsidR="009F25FC" w:rsidRPr="00E729F9">
        <w:rPr>
          <w:rFonts w:ascii="Sabon" w:hAnsi="Sabon"/>
          <w:sz w:val="22"/>
          <w:szCs w:val="22"/>
        </w:rPr>
        <w:t xml:space="preserve">he government </w:t>
      </w:r>
      <w:r w:rsidR="007F266F" w:rsidRPr="00E729F9">
        <w:rPr>
          <w:rFonts w:ascii="Sabon" w:hAnsi="Sabon"/>
          <w:sz w:val="22"/>
          <w:szCs w:val="22"/>
        </w:rPr>
        <w:t xml:space="preserve">has again invited </w:t>
      </w:r>
      <w:r w:rsidR="00813E75" w:rsidRPr="00E729F9">
        <w:rPr>
          <w:rFonts w:ascii="Sabon" w:hAnsi="Sabon"/>
          <w:sz w:val="22"/>
          <w:szCs w:val="22"/>
        </w:rPr>
        <w:t>the LPC</w:t>
      </w:r>
      <w:r w:rsidR="009F25FC" w:rsidRPr="00E729F9">
        <w:rPr>
          <w:rFonts w:ascii="Sabon" w:hAnsi="Sabon"/>
          <w:sz w:val="22"/>
          <w:szCs w:val="22"/>
        </w:rPr>
        <w:t xml:space="preserve"> to consider “the </w:t>
      </w:r>
      <w:r w:rsidR="009F25FC" w:rsidRPr="00E729F9">
        <w:rPr>
          <w:rFonts w:ascii="Sabon" w:hAnsi="Sabon" w:cs="Arial"/>
          <w:snapToGrid/>
          <w:color w:val="000000"/>
          <w:sz w:val="22"/>
          <w:szCs w:val="22"/>
          <w:lang w:eastAsia="en-GB"/>
        </w:rPr>
        <w:t>conditions that need to be in place to allow the value of the minimum wage to increase in real terms</w:t>
      </w:r>
      <w:r w:rsidR="00A1469D" w:rsidRPr="00E729F9">
        <w:rPr>
          <w:rFonts w:ascii="Sabon" w:hAnsi="Sabon" w:cs="Arial"/>
          <w:snapToGrid/>
          <w:color w:val="000000"/>
          <w:sz w:val="22"/>
          <w:szCs w:val="22"/>
          <w:lang w:eastAsia="en-GB"/>
        </w:rPr>
        <w:t>”</w:t>
      </w:r>
      <w:r w:rsidR="009F25FC" w:rsidRPr="00E729F9">
        <w:rPr>
          <w:rFonts w:ascii="Sabon" w:hAnsi="Sabon" w:cs="Arial"/>
          <w:snapToGrid/>
          <w:color w:val="000000"/>
          <w:sz w:val="22"/>
          <w:szCs w:val="22"/>
          <w:lang w:eastAsia="en-GB"/>
        </w:rPr>
        <w:t>.</w:t>
      </w:r>
      <w:r w:rsidR="00A1469D" w:rsidRPr="00E729F9">
        <w:rPr>
          <w:rFonts w:ascii="Sabon" w:hAnsi="Sabon" w:cs="Arial"/>
          <w:snapToGrid/>
          <w:color w:val="000000"/>
          <w:sz w:val="22"/>
          <w:szCs w:val="22"/>
          <w:lang w:eastAsia="en-GB"/>
        </w:rPr>
        <w:t xml:space="preserve"> The LPC consulted in this issue for its 2014 report, recalling that its own work had gone through phases of caution as well as times when </w:t>
      </w:r>
      <w:r w:rsidR="00BC4DF6" w:rsidRPr="00E729F9">
        <w:rPr>
          <w:rFonts w:ascii="Sabon" w:hAnsi="Sabon" w:cs="Arial"/>
          <w:snapToGrid/>
          <w:color w:val="000000"/>
          <w:sz w:val="22"/>
          <w:szCs w:val="22"/>
          <w:lang w:eastAsia="en-GB"/>
        </w:rPr>
        <w:t xml:space="preserve">the </w:t>
      </w:r>
      <w:r w:rsidR="00A1347C" w:rsidRPr="00E729F9">
        <w:rPr>
          <w:rFonts w:ascii="Sabon" w:hAnsi="Sabon" w:cs="Arial"/>
          <w:snapToGrid/>
          <w:color w:val="000000"/>
          <w:sz w:val="22"/>
          <w:szCs w:val="22"/>
          <w:lang w:eastAsia="en-GB"/>
        </w:rPr>
        <w:t>evidence</w:t>
      </w:r>
      <w:r w:rsidR="00BC4DF6" w:rsidRPr="00E729F9">
        <w:rPr>
          <w:rFonts w:ascii="Sabon" w:hAnsi="Sabon" w:cs="Arial"/>
          <w:snapToGrid/>
          <w:color w:val="000000"/>
          <w:sz w:val="22"/>
          <w:szCs w:val="22"/>
          <w:lang w:eastAsia="en-GB"/>
        </w:rPr>
        <w:t xml:space="preserve"> pointed to the need for la</w:t>
      </w:r>
      <w:r w:rsidRPr="00E729F9">
        <w:rPr>
          <w:rFonts w:ascii="Sabon" w:hAnsi="Sabon" w:cs="Arial"/>
          <w:snapToGrid/>
          <w:color w:val="000000"/>
          <w:sz w:val="22"/>
          <w:szCs w:val="22"/>
          <w:lang w:eastAsia="en-GB"/>
        </w:rPr>
        <w:t>r</w:t>
      </w:r>
      <w:r w:rsidR="00BC4DF6" w:rsidRPr="00E729F9">
        <w:rPr>
          <w:rFonts w:ascii="Sabon" w:hAnsi="Sabon" w:cs="Arial"/>
          <w:snapToGrid/>
          <w:color w:val="000000"/>
          <w:sz w:val="22"/>
          <w:szCs w:val="22"/>
          <w:lang w:eastAsia="en-GB"/>
        </w:rPr>
        <w:t xml:space="preserve">ger </w:t>
      </w:r>
      <w:r w:rsidR="00A1347C" w:rsidRPr="00E729F9">
        <w:rPr>
          <w:rFonts w:ascii="Sabon" w:hAnsi="Sabon" w:cs="Arial"/>
          <w:snapToGrid/>
          <w:color w:val="000000"/>
          <w:sz w:val="22"/>
          <w:szCs w:val="22"/>
          <w:lang w:eastAsia="en-GB"/>
        </w:rPr>
        <w:t>increases</w:t>
      </w:r>
      <w:r w:rsidR="00A1469D" w:rsidRPr="00E729F9">
        <w:rPr>
          <w:rStyle w:val="FootnoteReference"/>
          <w:rFonts w:ascii="Sabon" w:hAnsi="Sabon" w:cs="Arial"/>
          <w:snapToGrid/>
          <w:color w:val="000000"/>
          <w:sz w:val="22"/>
          <w:szCs w:val="22"/>
          <w:lang w:eastAsia="en-GB"/>
        </w:rPr>
        <w:footnoteReference w:id="47"/>
      </w:r>
      <w:r w:rsidR="00A1469D" w:rsidRPr="00E729F9">
        <w:rPr>
          <w:rFonts w:ascii="Sabon" w:hAnsi="Sabon" w:cs="Arial"/>
          <w:snapToGrid/>
          <w:color w:val="000000"/>
          <w:sz w:val="22"/>
          <w:szCs w:val="22"/>
          <w:lang w:eastAsia="en-GB"/>
        </w:rPr>
        <w:t xml:space="preserve">.  </w:t>
      </w:r>
    </w:p>
    <w:p w:rsidR="007F266F" w:rsidRPr="00E729F9" w:rsidRDefault="007F266F" w:rsidP="00E729F9">
      <w:pPr>
        <w:widowControl/>
        <w:autoSpaceDE w:val="0"/>
        <w:autoSpaceDN w:val="0"/>
        <w:adjustRightInd w:val="0"/>
        <w:spacing w:line="276" w:lineRule="auto"/>
        <w:rPr>
          <w:rFonts w:ascii="Sabon" w:hAnsi="Sabon" w:cs="Arial"/>
          <w:snapToGrid/>
          <w:color w:val="000000"/>
          <w:sz w:val="22"/>
          <w:szCs w:val="22"/>
          <w:lang w:eastAsia="en-GB"/>
        </w:rPr>
      </w:pPr>
    </w:p>
    <w:p w:rsidR="00565443" w:rsidRPr="00E729F9" w:rsidRDefault="00565443" w:rsidP="00565443">
      <w:pPr>
        <w:widowControl/>
        <w:autoSpaceDE w:val="0"/>
        <w:autoSpaceDN w:val="0"/>
        <w:adjustRightInd w:val="0"/>
        <w:spacing w:line="276" w:lineRule="auto"/>
        <w:rPr>
          <w:rFonts w:ascii="Sabon" w:hAnsi="Sabon" w:cs="Arial"/>
          <w:snapToGrid/>
          <w:color w:val="000000"/>
          <w:sz w:val="22"/>
          <w:szCs w:val="22"/>
          <w:lang w:eastAsia="en-GB"/>
        </w:rPr>
      </w:pPr>
      <w:r>
        <w:rPr>
          <w:rFonts w:ascii="Sabon" w:hAnsi="Sabon" w:cs="Arial"/>
          <w:snapToGrid/>
          <w:color w:val="000000"/>
          <w:sz w:val="22"/>
          <w:szCs w:val="22"/>
          <w:lang w:eastAsia="en-GB"/>
        </w:rPr>
        <w:t>Last year there</w:t>
      </w:r>
      <w:r w:rsidRPr="00E729F9">
        <w:rPr>
          <w:rFonts w:ascii="Sabon" w:hAnsi="Sabon" w:cs="Arial"/>
          <w:snapToGrid/>
          <w:color w:val="000000"/>
          <w:sz w:val="22"/>
          <w:szCs w:val="22"/>
          <w:lang w:eastAsia="en-GB"/>
        </w:rPr>
        <w:t xml:space="preserve"> </w:t>
      </w:r>
      <w:r w:rsidR="00813E75" w:rsidRPr="00E729F9">
        <w:rPr>
          <w:rFonts w:ascii="Sabon" w:hAnsi="Sabon" w:cs="Arial"/>
          <w:snapToGrid/>
          <w:color w:val="000000"/>
          <w:sz w:val="22"/>
          <w:szCs w:val="22"/>
          <w:lang w:eastAsia="en-GB"/>
        </w:rPr>
        <w:t xml:space="preserve">was </w:t>
      </w:r>
      <w:r>
        <w:rPr>
          <w:rFonts w:ascii="Sabon" w:hAnsi="Sabon" w:cs="Arial"/>
          <w:snapToGrid/>
          <w:color w:val="000000"/>
          <w:sz w:val="22"/>
          <w:szCs w:val="22"/>
          <w:lang w:eastAsia="en-GB"/>
        </w:rPr>
        <w:t xml:space="preserve">a </w:t>
      </w:r>
      <w:r w:rsidR="00813E75" w:rsidRPr="00E729F9">
        <w:rPr>
          <w:rFonts w:ascii="Sabon" w:hAnsi="Sabon" w:cs="Arial"/>
          <w:snapToGrid/>
          <w:color w:val="000000"/>
          <w:sz w:val="22"/>
          <w:szCs w:val="22"/>
          <w:lang w:eastAsia="en-GB"/>
        </w:rPr>
        <w:t>certain amount of consensus amongst many of the stakeholders</w:t>
      </w:r>
      <w:r w:rsidR="00A1469D" w:rsidRPr="00E729F9">
        <w:rPr>
          <w:rFonts w:ascii="Sabon" w:hAnsi="Sabon" w:cs="Arial"/>
          <w:snapToGrid/>
          <w:color w:val="000000"/>
          <w:sz w:val="22"/>
          <w:szCs w:val="22"/>
          <w:lang w:eastAsia="en-GB"/>
        </w:rPr>
        <w:t xml:space="preserve"> that in</w:t>
      </w:r>
      <w:r w:rsidR="007F266F" w:rsidRPr="00E729F9">
        <w:rPr>
          <w:rFonts w:ascii="Sabon" w:hAnsi="Sabon" w:cs="Arial"/>
          <w:snapToGrid/>
          <w:color w:val="000000"/>
          <w:sz w:val="22"/>
          <w:szCs w:val="22"/>
          <w:lang w:eastAsia="en-GB"/>
        </w:rPr>
        <w:t xml:space="preserve"> order to </w:t>
      </w:r>
      <w:r w:rsidR="00813E75" w:rsidRPr="00E729F9">
        <w:rPr>
          <w:rFonts w:ascii="Sabon" w:hAnsi="Sabon" w:cs="Arial"/>
          <w:snapToGrid/>
          <w:color w:val="000000"/>
          <w:sz w:val="22"/>
          <w:szCs w:val="22"/>
          <w:lang w:eastAsia="en-GB"/>
        </w:rPr>
        <w:t>shift</w:t>
      </w:r>
      <w:r w:rsidR="007F266F" w:rsidRPr="00E729F9">
        <w:rPr>
          <w:rFonts w:ascii="Sabon" w:hAnsi="Sabon" w:cs="Arial"/>
          <w:snapToGrid/>
          <w:color w:val="000000"/>
          <w:sz w:val="22"/>
          <w:szCs w:val="22"/>
          <w:lang w:eastAsia="en-GB"/>
        </w:rPr>
        <w:t xml:space="preserve"> into a </w:t>
      </w:r>
      <w:r w:rsidR="00813E75" w:rsidRPr="00E729F9">
        <w:rPr>
          <w:rFonts w:ascii="Sabon" w:hAnsi="Sabon" w:cs="Arial"/>
          <w:snapToGrid/>
          <w:color w:val="000000"/>
          <w:sz w:val="22"/>
          <w:szCs w:val="22"/>
          <w:lang w:eastAsia="en-GB"/>
        </w:rPr>
        <w:t>further</w:t>
      </w:r>
      <w:r w:rsidR="007F266F" w:rsidRPr="00E729F9">
        <w:rPr>
          <w:rFonts w:ascii="Sabon" w:hAnsi="Sabon" w:cs="Arial"/>
          <w:snapToGrid/>
          <w:color w:val="000000"/>
          <w:sz w:val="22"/>
          <w:szCs w:val="22"/>
          <w:lang w:eastAsia="en-GB"/>
        </w:rPr>
        <w:t xml:space="preserve"> </w:t>
      </w:r>
      <w:r w:rsidR="00813E75" w:rsidRPr="00E729F9">
        <w:rPr>
          <w:rFonts w:ascii="Sabon" w:hAnsi="Sabon" w:cs="Arial"/>
          <w:snapToGrid/>
          <w:color w:val="000000"/>
          <w:sz w:val="22"/>
          <w:szCs w:val="22"/>
          <w:lang w:eastAsia="en-GB"/>
        </w:rPr>
        <w:t>phase</w:t>
      </w:r>
      <w:r w:rsidR="007F266F" w:rsidRPr="00E729F9">
        <w:rPr>
          <w:rFonts w:ascii="Sabon" w:hAnsi="Sabon" w:cs="Arial"/>
          <w:snapToGrid/>
          <w:color w:val="000000"/>
          <w:sz w:val="22"/>
          <w:szCs w:val="22"/>
          <w:lang w:eastAsia="en-GB"/>
        </w:rPr>
        <w:t xml:space="preserve"> of optimism, the LPC would need to be </w:t>
      </w:r>
      <w:r w:rsidR="00813E75" w:rsidRPr="00E729F9">
        <w:rPr>
          <w:rFonts w:ascii="Sabon" w:hAnsi="Sabon" w:cs="Arial"/>
          <w:snapToGrid/>
          <w:color w:val="000000"/>
          <w:sz w:val="22"/>
          <w:szCs w:val="22"/>
          <w:lang w:eastAsia="en-GB"/>
        </w:rPr>
        <w:t>sure</w:t>
      </w:r>
      <w:r w:rsidR="007F266F" w:rsidRPr="00E729F9">
        <w:rPr>
          <w:rFonts w:ascii="Sabon" w:hAnsi="Sabon" w:cs="Arial"/>
          <w:snapToGrid/>
          <w:color w:val="000000"/>
          <w:sz w:val="22"/>
          <w:szCs w:val="22"/>
          <w:lang w:eastAsia="en-GB"/>
        </w:rPr>
        <w:t xml:space="preserve"> that the economic </w:t>
      </w:r>
      <w:r w:rsidR="00813E75" w:rsidRPr="00E729F9">
        <w:rPr>
          <w:rFonts w:ascii="Sabon" w:hAnsi="Sabon" w:cs="Arial"/>
          <w:snapToGrid/>
          <w:color w:val="000000"/>
          <w:sz w:val="22"/>
          <w:szCs w:val="22"/>
          <w:lang w:eastAsia="en-GB"/>
        </w:rPr>
        <w:t>future</w:t>
      </w:r>
      <w:r w:rsidR="007F266F" w:rsidRPr="00E729F9">
        <w:rPr>
          <w:rFonts w:ascii="Sabon" w:hAnsi="Sabon" w:cs="Arial"/>
          <w:snapToGrid/>
          <w:color w:val="000000"/>
          <w:sz w:val="22"/>
          <w:szCs w:val="22"/>
          <w:lang w:eastAsia="en-GB"/>
        </w:rPr>
        <w:t xml:space="preserve"> was </w:t>
      </w:r>
      <w:r w:rsidR="00813E75" w:rsidRPr="00E729F9">
        <w:rPr>
          <w:rFonts w:ascii="Sabon" w:hAnsi="Sabon" w:cs="Arial"/>
          <w:snapToGrid/>
          <w:color w:val="000000"/>
          <w:sz w:val="22"/>
          <w:szCs w:val="22"/>
          <w:lang w:eastAsia="en-GB"/>
        </w:rPr>
        <w:t>broadly</w:t>
      </w:r>
      <w:r w:rsidR="007F266F" w:rsidRPr="00E729F9">
        <w:rPr>
          <w:rFonts w:ascii="Sabon" w:hAnsi="Sabon" w:cs="Arial"/>
          <w:snapToGrid/>
          <w:color w:val="000000"/>
          <w:sz w:val="22"/>
          <w:szCs w:val="22"/>
          <w:lang w:eastAsia="en-GB"/>
        </w:rPr>
        <w:t xml:space="preserve"> set fair, with a reasonable degree of economic growth, and a robust labour </w:t>
      </w:r>
      <w:r w:rsidR="00813E75" w:rsidRPr="00E729F9">
        <w:rPr>
          <w:rFonts w:ascii="Sabon" w:hAnsi="Sabon" w:cs="Arial"/>
          <w:snapToGrid/>
          <w:color w:val="000000"/>
          <w:sz w:val="22"/>
          <w:szCs w:val="22"/>
          <w:lang w:eastAsia="en-GB"/>
        </w:rPr>
        <w:t>market</w:t>
      </w:r>
      <w:r w:rsidR="007F266F" w:rsidRPr="00E729F9">
        <w:rPr>
          <w:rFonts w:ascii="Sabon" w:hAnsi="Sabon" w:cs="Arial"/>
          <w:snapToGrid/>
          <w:color w:val="000000"/>
          <w:sz w:val="22"/>
          <w:szCs w:val="22"/>
          <w:lang w:eastAsia="en-GB"/>
        </w:rPr>
        <w:t xml:space="preserve">, with relatively high levels of employment. </w:t>
      </w:r>
      <w:r w:rsidRPr="00E729F9">
        <w:rPr>
          <w:rFonts w:ascii="Sabon" w:hAnsi="Sabon" w:cs="Arial"/>
          <w:snapToGrid/>
          <w:color w:val="000000"/>
          <w:sz w:val="22"/>
          <w:szCs w:val="22"/>
          <w:lang w:eastAsia="en-GB"/>
        </w:rPr>
        <w:t>It would</w:t>
      </w:r>
      <w:r>
        <w:rPr>
          <w:rFonts w:ascii="Sabon" w:hAnsi="Sabon" w:cs="Arial"/>
          <w:snapToGrid/>
          <w:color w:val="000000"/>
          <w:sz w:val="22"/>
          <w:szCs w:val="22"/>
          <w:lang w:eastAsia="en-GB"/>
        </w:rPr>
        <w:t xml:space="preserve"> now</w:t>
      </w:r>
      <w:r w:rsidRPr="00E729F9">
        <w:rPr>
          <w:rFonts w:ascii="Sabon" w:hAnsi="Sabon" w:cs="Arial"/>
          <w:snapToGrid/>
          <w:color w:val="000000"/>
          <w:sz w:val="22"/>
          <w:szCs w:val="22"/>
          <w:lang w:eastAsia="en-GB"/>
        </w:rPr>
        <w:t xml:space="preserve"> be hard to find anybody who does not believe that these conditions will be fully met by October 2015, when the LPC rates under consideration are due to take effect.</w:t>
      </w:r>
    </w:p>
    <w:p w:rsidR="00A86BFA" w:rsidRPr="00E729F9" w:rsidRDefault="00A86BFA" w:rsidP="00E729F9">
      <w:pPr>
        <w:widowControl/>
        <w:autoSpaceDE w:val="0"/>
        <w:autoSpaceDN w:val="0"/>
        <w:adjustRightInd w:val="0"/>
        <w:spacing w:line="276" w:lineRule="auto"/>
        <w:rPr>
          <w:rFonts w:ascii="Sabon" w:hAnsi="Sabon" w:cs="Arial"/>
          <w:snapToGrid/>
          <w:color w:val="000000"/>
          <w:sz w:val="22"/>
          <w:szCs w:val="22"/>
          <w:lang w:eastAsia="en-GB"/>
        </w:rPr>
      </w:pPr>
    </w:p>
    <w:p w:rsidR="00A86BFA" w:rsidRPr="00E729F9" w:rsidRDefault="00A86BFA" w:rsidP="00E729F9">
      <w:pPr>
        <w:widowControl/>
        <w:autoSpaceDE w:val="0"/>
        <w:autoSpaceDN w:val="0"/>
        <w:adjustRightInd w:val="0"/>
        <w:spacing w:line="276" w:lineRule="auto"/>
        <w:rPr>
          <w:rFonts w:ascii="Sabon" w:hAnsi="Sabon" w:cs="Arial"/>
          <w:snapToGrid/>
          <w:color w:val="000000"/>
          <w:sz w:val="22"/>
          <w:szCs w:val="22"/>
          <w:lang w:eastAsia="en-GB"/>
        </w:rPr>
      </w:pPr>
      <w:r w:rsidRPr="00E729F9">
        <w:rPr>
          <w:rFonts w:ascii="Sabon" w:hAnsi="Sabon" w:cs="Arial"/>
          <w:snapToGrid/>
          <w:color w:val="000000"/>
          <w:sz w:val="22"/>
          <w:szCs w:val="22"/>
          <w:lang w:eastAsia="en-GB"/>
        </w:rPr>
        <w:t xml:space="preserve">A </w:t>
      </w:r>
      <w:r w:rsidR="00813E75" w:rsidRPr="00E729F9">
        <w:rPr>
          <w:rFonts w:ascii="Sabon" w:hAnsi="Sabon" w:cs="Arial"/>
          <w:snapToGrid/>
          <w:color w:val="000000"/>
          <w:sz w:val="22"/>
          <w:szCs w:val="22"/>
          <w:lang w:eastAsia="en-GB"/>
        </w:rPr>
        <w:t>return</w:t>
      </w:r>
      <w:r w:rsidRPr="00E729F9">
        <w:rPr>
          <w:rFonts w:ascii="Sabon" w:hAnsi="Sabon" w:cs="Arial"/>
          <w:snapToGrid/>
          <w:color w:val="000000"/>
          <w:sz w:val="22"/>
          <w:szCs w:val="22"/>
          <w:lang w:eastAsia="en-GB"/>
        </w:rPr>
        <w:t xml:space="preserve"> to stronger pay growth for the </w:t>
      </w:r>
      <w:r w:rsidR="00813E75" w:rsidRPr="00E729F9">
        <w:rPr>
          <w:rFonts w:ascii="Sabon" w:hAnsi="Sabon" w:cs="Arial"/>
          <w:snapToGrid/>
          <w:color w:val="000000"/>
          <w:sz w:val="22"/>
          <w:szCs w:val="22"/>
          <w:lang w:eastAsia="en-GB"/>
        </w:rPr>
        <w:t>majority</w:t>
      </w:r>
      <w:r w:rsidRPr="00E729F9">
        <w:rPr>
          <w:rFonts w:ascii="Sabon" w:hAnsi="Sabon" w:cs="Arial"/>
          <w:snapToGrid/>
          <w:color w:val="000000"/>
          <w:sz w:val="22"/>
          <w:szCs w:val="22"/>
          <w:lang w:eastAsia="en-GB"/>
        </w:rPr>
        <w:t xml:space="preserve"> of workers is also very </w:t>
      </w:r>
      <w:r w:rsidR="00813E75" w:rsidRPr="00E729F9">
        <w:rPr>
          <w:rFonts w:ascii="Sabon" w:hAnsi="Sabon" w:cs="Arial"/>
          <w:snapToGrid/>
          <w:color w:val="000000"/>
          <w:sz w:val="22"/>
          <w:szCs w:val="22"/>
          <w:lang w:eastAsia="en-GB"/>
        </w:rPr>
        <w:t>likely</w:t>
      </w:r>
      <w:r w:rsidRPr="00E729F9">
        <w:rPr>
          <w:rFonts w:ascii="Sabon" w:hAnsi="Sabon" w:cs="Arial"/>
          <w:snapToGrid/>
          <w:color w:val="000000"/>
          <w:sz w:val="22"/>
          <w:szCs w:val="22"/>
          <w:lang w:eastAsia="en-GB"/>
        </w:rPr>
        <w:t xml:space="preserve">, </w:t>
      </w:r>
      <w:r w:rsidR="00A1469D" w:rsidRPr="00E729F9">
        <w:rPr>
          <w:rFonts w:ascii="Sabon" w:hAnsi="Sabon" w:cs="Arial"/>
          <w:snapToGrid/>
          <w:color w:val="000000"/>
          <w:sz w:val="22"/>
          <w:szCs w:val="22"/>
          <w:lang w:eastAsia="en-GB"/>
        </w:rPr>
        <w:t xml:space="preserve">although </w:t>
      </w:r>
      <w:r w:rsidRPr="00E729F9">
        <w:rPr>
          <w:rFonts w:ascii="Sabon" w:hAnsi="Sabon" w:cs="Arial"/>
          <w:snapToGrid/>
          <w:color w:val="000000"/>
          <w:sz w:val="22"/>
          <w:szCs w:val="22"/>
          <w:lang w:eastAsia="en-GB"/>
        </w:rPr>
        <w:t xml:space="preserve">not </w:t>
      </w:r>
      <w:r w:rsidR="00813E75" w:rsidRPr="00E729F9">
        <w:rPr>
          <w:rFonts w:ascii="Sabon" w:hAnsi="Sabon" w:cs="Arial"/>
          <w:snapToGrid/>
          <w:color w:val="000000"/>
          <w:sz w:val="22"/>
          <w:szCs w:val="22"/>
          <w:lang w:eastAsia="en-GB"/>
        </w:rPr>
        <w:t>completely</w:t>
      </w:r>
      <w:r w:rsidRPr="00E729F9">
        <w:rPr>
          <w:rFonts w:ascii="Sabon" w:hAnsi="Sabon" w:cs="Arial"/>
          <w:snapToGrid/>
          <w:color w:val="000000"/>
          <w:sz w:val="22"/>
          <w:szCs w:val="22"/>
          <w:lang w:eastAsia="en-GB"/>
        </w:rPr>
        <w:t xml:space="preserve"> certain. As discussed above, </w:t>
      </w:r>
      <w:r w:rsidR="00813E75" w:rsidRPr="00E729F9">
        <w:rPr>
          <w:rFonts w:ascii="Sabon" w:hAnsi="Sabon" w:cs="Arial"/>
          <w:snapToGrid/>
          <w:color w:val="000000"/>
          <w:sz w:val="22"/>
          <w:szCs w:val="22"/>
          <w:lang w:eastAsia="en-GB"/>
        </w:rPr>
        <w:t>current</w:t>
      </w:r>
      <w:r w:rsidRPr="00E729F9">
        <w:rPr>
          <w:rFonts w:ascii="Sabon" w:hAnsi="Sabon" w:cs="Arial"/>
          <w:snapToGrid/>
          <w:color w:val="000000"/>
          <w:sz w:val="22"/>
          <w:szCs w:val="22"/>
          <w:lang w:eastAsia="en-GB"/>
        </w:rPr>
        <w:t xml:space="preserve"> pay growth figures are depressed by </w:t>
      </w:r>
      <w:r w:rsidR="00813E75" w:rsidRPr="00E729F9">
        <w:rPr>
          <w:rFonts w:ascii="Sabon" w:hAnsi="Sabon" w:cs="Arial"/>
          <w:snapToGrid/>
          <w:color w:val="000000"/>
          <w:sz w:val="22"/>
          <w:szCs w:val="22"/>
          <w:lang w:eastAsia="en-GB"/>
        </w:rPr>
        <w:t>compositional</w:t>
      </w:r>
      <w:r w:rsidRPr="00E729F9">
        <w:rPr>
          <w:rFonts w:ascii="Sabon" w:hAnsi="Sabon" w:cs="Arial"/>
          <w:snapToGrid/>
          <w:color w:val="000000"/>
          <w:sz w:val="22"/>
          <w:szCs w:val="22"/>
          <w:lang w:eastAsia="en-GB"/>
        </w:rPr>
        <w:t xml:space="preserve"> effects</w:t>
      </w:r>
      <w:r w:rsidR="00A1469D" w:rsidRPr="00E729F9">
        <w:rPr>
          <w:rFonts w:ascii="Sabon" w:hAnsi="Sabon" w:cs="Arial"/>
          <w:snapToGrid/>
          <w:color w:val="000000"/>
          <w:sz w:val="22"/>
          <w:szCs w:val="22"/>
          <w:lang w:eastAsia="en-GB"/>
        </w:rPr>
        <w:t xml:space="preserve"> impacting on the AWE measures</w:t>
      </w:r>
      <w:r w:rsidRPr="00E729F9">
        <w:rPr>
          <w:rFonts w:ascii="Sabon" w:hAnsi="Sabon" w:cs="Arial"/>
          <w:snapToGrid/>
          <w:color w:val="000000"/>
          <w:sz w:val="22"/>
          <w:szCs w:val="22"/>
          <w:lang w:eastAsia="en-GB"/>
        </w:rPr>
        <w:t xml:space="preserve">. There will be more survey data between now and the LPC’s decision </w:t>
      </w:r>
      <w:r w:rsidR="00813E75" w:rsidRPr="00E729F9">
        <w:rPr>
          <w:rFonts w:ascii="Sabon" w:hAnsi="Sabon" w:cs="Arial"/>
          <w:snapToGrid/>
          <w:color w:val="000000"/>
          <w:sz w:val="22"/>
          <w:szCs w:val="22"/>
          <w:lang w:eastAsia="en-GB"/>
        </w:rPr>
        <w:t>making</w:t>
      </w:r>
      <w:r w:rsidRPr="00E729F9">
        <w:rPr>
          <w:rFonts w:ascii="Sabon" w:hAnsi="Sabon" w:cs="Arial"/>
          <w:snapToGrid/>
          <w:color w:val="000000"/>
          <w:sz w:val="22"/>
          <w:szCs w:val="22"/>
          <w:lang w:eastAsia="en-GB"/>
        </w:rPr>
        <w:t xml:space="preserve"> point in the </w:t>
      </w:r>
      <w:r w:rsidR="00813E75" w:rsidRPr="00E729F9">
        <w:rPr>
          <w:rFonts w:ascii="Sabon" w:hAnsi="Sabon" w:cs="Arial"/>
          <w:snapToGrid/>
          <w:color w:val="000000"/>
          <w:sz w:val="22"/>
          <w:szCs w:val="22"/>
          <w:lang w:eastAsia="en-GB"/>
        </w:rPr>
        <w:t>New Year</w:t>
      </w:r>
      <w:r w:rsidRPr="00E729F9">
        <w:rPr>
          <w:rFonts w:ascii="Sabon" w:hAnsi="Sabon" w:cs="Arial"/>
          <w:snapToGrid/>
          <w:color w:val="000000"/>
          <w:sz w:val="22"/>
          <w:szCs w:val="22"/>
          <w:lang w:eastAsia="en-GB"/>
        </w:rPr>
        <w:t xml:space="preserve">. </w:t>
      </w:r>
      <w:r w:rsidR="00565443">
        <w:rPr>
          <w:rFonts w:ascii="Sabon" w:hAnsi="Sabon" w:cs="Arial"/>
          <w:snapToGrid/>
          <w:color w:val="000000"/>
          <w:sz w:val="22"/>
          <w:szCs w:val="22"/>
          <w:lang w:eastAsia="en-GB"/>
        </w:rPr>
        <w:t xml:space="preserve">Given the limitations of AWE as a measure of actual pay </w:t>
      </w:r>
      <w:r w:rsidR="00A82B02">
        <w:rPr>
          <w:rFonts w:ascii="Sabon" w:hAnsi="Sabon" w:cs="Arial"/>
          <w:snapToGrid/>
          <w:color w:val="000000"/>
          <w:sz w:val="22"/>
          <w:szCs w:val="22"/>
          <w:lang w:eastAsia="en-GB"/>
        </w:rPr>
        <w:t>rises if</w:t>
      </w:r>
      <w:r w:rsidR="00565443">
        <w:rPr>
          <w:rFonts w:ascii="Sabon" w:hAnsi="Sabon" w:cs="Arial"/>
          <w:snapToGrid/>
          <w:color w:val="000000"/>
          <w:sz w:val="22"/>
          <w:szCs w:val="22"/>
          <w:lang w:eastAsia="en-GB"/>
        </w:rPr>
        <w:t xml:space="preserve"> AWE growth</w:t>
      </w:r>
      <w:r w:rsidRPr="00E729F9">
        <w:rPr>
          <w:rFonts w:ascii="Sabon" w:hAnsi="Sabon" w:cs="Arial"/>
          <w:snapToGrid/>
          <w:color w:val="000000"/>
          <w:sz w:val="22"/>
          <w:szCs w:val="22"/>
          <w:lang w:eastAsia="en-GB"/>
        </w:rPr>
        <w:t xml:space="preserve"> is slow to revive during a </w:t>
      </w:r>
      <w:r w:rsidR="00813E75" w:rsidRPr="00E729F9">
        <w:rPr>
          <w:rFonts w:ascii="Sabon" w:hAnsi="Sabon" w:cs="Arial"/>
          <w:snapToGrid/>
          <w:color w:val="000000"/>
          <w:sz w:val="22"/>
          <w:szCs w:val="22"/>
          <w:lang w:eastAsia="en-GB"/>
        </w:rPr>
        <w:t>strengthening</w:t>
      </w:r>
      <w:r w:rsidRPr="00E729F9">
        <w:rPr>
          <w:rFonts w:ascii="Sabon" w:hAnsi="Sabon" w:cs="Arial"/>
          <w:snapToGrid/>
          <w:color w:val="000000"/>
          <w:sz w:val="22"/>
          <w:szCs w:val="22"/>
          <w:lang w:eastAsia="en-GB"/>
        </w:rPr>
        <w:t xml:space="preserve"> economic recovery then the LPC should give more </w:t>
      </w:r>
      <w:r w:rsidR="00D46FB9">
        <w:rPr>
          <w:rFonts w:ascii="Sabon" w:hAnsi="Sabon" w:cs="Arial"/>
          <w:snapToGrid/>
          <w:color w:val="000000"/>
          <w:sz w:val="22"/>
          <w:szCs w:val="22"/>
          <w:lang w:eastAsia="en-GB"/>
        </w:rPr>
        <w:t>consideration</w:t>
      </w:r>
      <w:r w:rsidRPr="00E729F9">
        <w:rPr>
          <w:rFonts w:ascii="Sabon" w:hAnsi="Sabon" w:cs="Arial"/>
          <w:snapToGrid/>
          <w:color w:val="000000"/>
          <w:sz w:val="22"/>
          <w:szCs w:val="22"/>
          <w:lang w:eastAsia="en-GB"/>
        </w:rPr>
        <w:t xml:space="preserve"> than usual to trying to test whether employers really </w:t>
      </w:r>
      <w:r w:rsidR="00813E75" w:rsidRPr="00E729F9">
        <w:rPr>
          <w:rFonts w:ascii="Sabon" w:hAnsi="Sabon" w:cs="Arial"/>
          <w:snapToGrid/>
          <w:color w:val="000000"/>
          <w:sz w:val="22"/>
          <w:szCs w:val="22"/>
          <w:lang w:eastAsia="en-GB"/>
        </w:rPr>
        <w:t>can</w:t>
      </w:r>
      <w:r w:rsidRPr="00E729F9">
        <w:rPr>
          <w:rFonts w:ascii="Sabon" w:hAnsi="Sabon" w:cs="Arial"/>
          <w:snapToGrid/>
          <w:color w:val="000000"/>
          <w:sz w:val="22"/>
          <w:szCs w:val="22"/>
          <w:lang w:eastAsia="en-GB"/>
        </w:rPr>
        <w:t xml:space="preserve"> afford to pay more</w:t>
      </w:r>
      <w:r w:rsidR="00A1469D" w:rsidRPr="00E729F9">
        <w:rPr>
          <w:rFonts w:ascii="Sabon" w:hAnsi="Sabon" w:cs="Arial"/>
          <w:snapToGrid/>
          <w:color w:val="000000"/>
          <w:sz w:val="22"/>
          <w:szCs w:val="22"/>
          <w:lang w:eastAsia="en-GB"/>
        </w:rPr>
        <w:t>, and to whether the AWE alone should be used as the main indicator of pay growth</w:t>
      </w:r>
      <w:r w:rsidRPr="00E729F9">
        <w:rPr>
          <w:rFonts w:ascii="Sabon" w:hAnsi="Sabon" w:cs="Arial"/>
          <w:snapToGrid/>
          <w:color w:val="000000"/>
          <w:sz w:val="22"/>
          <w:szCs w:val="22"/>
          <w:lang w:eastAsia="en-GB"/>
        </w:rPr>
        <w:t>.</w:t>
      </w:r>
    </w:p>
    <w:p w:rsidR="00A86BFA" w:rsidRPr="00E729F9" w:rsidRDefault="00A86BFA" w:rsidP="00E729F9">
      <w:pPr>
        <w:widowControl/>
        <w:autoSpaceDE w:val="0"/>
        <w:autoSpaceDN w:val="0"/>
        <w:adjustRightInd w:val="0"/>
        <w:spacing w:line="276" w:lineRule="auto"/>
        <w:rPr>
          <w:rFonts w:ascii="Sabon" w:hAnsi="Sabon" w:cs="Arial"/>
          <w:snapToGrid/>
          <w:color w:val="000000"/>
          <w:sz w:val="22"/>
          <w:szCs w:val="22"/>
          <w:lang w:eastAsia="en-GB"/>
        </w:rPr>
      </w:pPr>
    </w:p>
    <w:p w:rsidR="001F01F6" w:rsidRPr="00E729F9" w:rsidRDefault="008C6977" w:rsidP="00E729F9">
      <w:pPr>
        <w:widowControl/>
        <w:autoSpaceDE w:val="0"/>
        <w:autoSpaceDN w:val="0"/>
        <w:adjustRightInd w:val="0"/>
        <w:spacing w:line="276" w:lineRule="auto"/>
        <w:rPr>
          <w:rFonts w:ascii="Sabon" w:hAnsi="Sabon" w:cs="Arial"/>
          <w:snapToGrid/>
          <w:color w:val="000000"/>
          <w:sz w:val="22"/>
          <w:szCs w:val="22"/>
          <w:lang w:eastAsia="en-GB"/>
        </w:rPr>
      </w:pPr>
      <w:r w:rsidRPr="00E729F9">
        <w:rPr>
          <w:rFonts w:ascii="Sabon" w:hAnsi="Sabon" w:cs="Arial"/>
          <w:snapToGrid/>
          <w:color w:val="000000"/>
          <w:sz w:val="22"/>
          <w:szCs w:val="22"/>
          <w:lang w:eastAsia="en-GB"/>
        </w:rPr>
        <w:t>T</w:t>
      </w:r>
      <w:r w:rsidR="001F01F6" w:rsidRPr="00E729F9">
        <w:rPr>
          <w:rFonts w:ascii="Sabon" w:hAnsi="Sabon" w:cs="Arial"/>
          <w:snapToGrid/>
          <w:color w:val="000000"/>
          <w:sz w:val="22"/>
          <w:szCs w:val="22"/>
          <w:lang w:eastAsia="en-GB"/>
        </w:rPr>
        <w:t xml:space="preserve">he TUC </w:t>
      </w:r>
      <w:r w:rsidRPr="00E729F9">
        <w:rPr>
          <w:rFonts w:ascii="Sabon" w:hAnsi="Sabon" w:cs="Arial"/>
          <w:snapToGrid/>
          <w:color w:val="000000"/>
          <w:sz w:val="22"/>
          <w:szCs w:val="22"/>
          <w:lang w:eastAsia="en-GB"/>
        </w:rPr>
        <w:t xml:space="preserve">therefore </w:t>
      </w:r>
      <w:r w:rsidR="001F01F6" w:rsidRPr="00E729F9">
        <w:rPr>
          <w:rFonts w:ascii="Sabon" w:hAnsi="Sabon" w:cs="Arial"/>
          <w:snapToGrid/>
          <w:color w:val="000000"/>
          <w:sz w:val="22"/>
          <w:szCs w:val="22"/>
          <w:lang w:eastAsia="en-GB"/>
        </w:rPr>
        <w:t xml:space="preserve">believes that </w:t>
      </w:r>
      <w:r w:rsidR="00BC4DF6" w:rsidRPr="00E729F9">
        <w:rPr>
          <w:rFonts w:ascii="Sabon" w:hAnsi="Sabon" w:cs="Arial"/>
          <w:snapToGrid/>
          <w:color w:val="000000"/>
          <w:sz w:val="22"/>
          <w:szCs w:val="22"/>
          <w:lang w:eastAsia="en-GB"/>
        </w:rPr>
        <w:t xml:space="preserve">the </w:t>
      </w:r>
      <w:r w:rsidR="00A1347C" w:rsidRPr="00E729F9">
        <w:rPr>
          <w:rFonts w:ascii="Sabon" w:hAnsi="Sabon" w:cs="Arial"/>
          <w:snapToGrid/>
          <w:color w:val="000000"/>
          <w:sz w:val="22"/>
          <w:szCs w:val="22"/>
          <w:lang w:eastAsia="en-GB"/>
        </w:rPr>
        <w:t>evidence</w:t>
      </w:r>
      <w:r w:rsidR="00BC4DF6" w:rsidRPr="00E729F9">
        <w:rPr>
          <w:rFonts w:ascii="Sabon" w:hAnsi="Sabon" w:cs="Arial"/>
          <w:snapToGrid/>
          <w:color w:val="000000"/>
          <w:sz w:val="22"/>
          <w:szCs w:val="22"/>
          <w:lang w:eastAsia="en-GB"/>
        </w:rPr>
        <w:t xml:space="preserve"> is such that </w:t>
      </w:r>
      <w:r w:rsidR="001F01F6" w:rsidRPr="00E729F9">
        <w:rPr>
          <w:rFonts w:ascii="Sabon" w:hAnsi="Sabon" w:cs="Arial"/>
          <w:snapToGrid/>
          <w:color w:val="000000"/>
          <w:sz w:val="22"/>
          <w:szCs w:val="22"/>
          <w:lang w:eastAsia="en-GB"/>
        </w:rPr>
        <w:t xml:space="preserve">the LPC should be </w:t>
      </w:r>
      <w:r w:rsidR="00813E75" w:rsidRPr="00E729F9">
        <w:rPr>
          <w:rFonts w:ascii="Sabon" w:hAnsi="Sabon" w:cs="Arial"/>
          <w:snapToGrid/>
          <w:color w:val="000000"/>
          <w:sz w:val="22"/>
          <w:szCs w:val="22"/>
          <w:lang w:eastAsia="en-GB"/>
        </w:rPr>
        <w:t>preparing</w:t>
      </w:r>
      <w:r w:rsidR="001F01F6" w:rsidRPr="00E729F9">
        <w:rPr>
          <w:rFonts w:ascii="Sabon" w:hAnsi="Sabon" w:cs="Arial"/>
          <w:snapToGrid/>
          <w:color w:val="000000"/>
          <w:sz w:val="22"/>
          <w:szCs w:val="22"/>
          <w:lang w:eastAsia="en-GB"/>
        </w:rPr>
        <w:t xml:space="preserve"> to </w:t>
      </w:r>
      <w:r w:rsidR="00813E75" w:rsidRPr="00E729F9">
        <w:rPr>
          <w:rFonts w:ascii="Sabon" w:hAnsi="Sabon" w:cs="Arial"/>
          <w:snapToGrid/>
          <w:color w:val="000000"/>
          <w:sz w:val="22"/>
          <w:szCs w:val="22"/>
          <w:lang w:eastAsia="en-GB"/>
        </w:rPr>
        <w:t>enter a</w:t>
      </w:r>
      <w:r w:rsidR="001F01F6" w:rsidRPr="00E729F9">
        <w:rPr>
          <w:rFonts w:ascii="Sabon" w:hAnsi="Sabon" w:cs="Arial"/>
          <w:snapToGrid/>
          <w:color w:val="000000"/>
          <w:sz w:val="22"/>
          <w:szCs w:val="22"/>
          <w:lang w:eastAsia="en-GB"/>
        </w:rPr>
        <w:t xml:space="preserve"> new </w:t>
      </w:r>
      <w:r w:rsidR="00813E75" w:rsidRPr="00E729F9">
        <w:rPr>
          <w:rFonts w:ascii="Sabon" w:hAnsi="Sabon" w:cs="Arial"/>
          <w:snapToGrid/>
          <w:color w:val="000000"/>
          <w:sz w:val="22"/>
          <w:szCs w:val="22"/>
          <w:lang w:eastAsia="en-GB"/>
        </w:rPr>
        <w:t>phase</w:t>
      </w:r>
      <w:r w:rsidR="001F01F6" w:rsidRPr="00E729F9">
        <w:rPr>
          <w:rFonts w:ascii="Sabon" w:hAnsi="Sabon" w:cs="Arial"/>
          <w:snapToGrid/>
          <w:color w:val="000000"/>
          <w:sz w:val="22"/>
          <w:szCs w:val="22"/>
          <w:lang w:eastAsia="en-GB"/>
        </w:rPr>
        <w:t xml:space="preserve"> of more </w:t>
      </w:r>
      <w:r w:rsidR="00A1347C" w:rsidRPr="00E729F9">
        <w:rPr>
          <w:rFonts w:ascii="Sabon" w:hAnsi="Sabon" w:cs="Arial"/>
          <w:snapToGrid/>
          <w:color w:val="000000"/>
          <w:sz w:val="22"/>
          <w:szCs w:val="22"/>
          <w:lang w:eastAsia="en-GB"/>
        </w:rPr>
        <w:t>substantial</w:t>
      </w:r>
      <w:r w:rsidR="00BC4DF6" w:rsidRPr="00E729F9">
        <w:rPr>
          <w:rFonts w:ascii="Sabon" w:hAnsi="Sabon" w:cs="Arial"/>
          <w:snapToGrid/>
          <w:color w:val="000000"/>
          <w:sz w:val="22"/>
          <w:szCs w:val="22"/>
          <w:lang w:eastAsia="en-GB"/>
        </w:rPr>
        <w:t xml:space="preserve"> increases to the </w:t>
      </w:r>
      <w:r w:rsidR="00A1347C" w:rsidRPr="00E729F9">
        <w:rPr>
          <w:rFonts w:ascii="Sabon" w:hAnsi="Sabon" w:cs="Arial"/>
          <w:snapToGrid/>
          <w:color w:val="000000"/>
          <w:sz w:val="22"/>
          <w:szCs w:val="22"/>
          <w:lang w:eastAsia="en-GB"/>
        </w:rPr>
        <w:t>minimum</w:t>
      </w:r>
      <w:r w:rsidR="00BC4DF6" w:rsidRPr="00E729F9">
        <w:rPr>
          <w:rFonts w:ascii="Sabon" w:hAnsi="Sabon" w:cs="Arial"/>
          <w:snapToGrid/>
          <w:color w:val="000000"/>
          <w:sz w:val="22"/>
          <w:szCs w:val="22"/>
          <w:lang w:eastAsia="en-GB"/>
        </w:rPr>
        <w:t xml:space="preserve"> wage rate.</w:t>
      </w:r>
    </w:p>
    <w:p w:rsidR="001F01F6" w:rsidRPr="001F01F6" w:rsidRDefault="001F01F6" w:rsidP="009F25FC">
      <w:pPr>
        <w:widowControl/>
        <w:autoSpaceDE w:val="0"/>
        <w:autoSpaceDN w:val="0"/>
        <w:adjustRightInd w:val="0"/>
        <w:spacing w:line="276" w:lineRule="auto"/>
        <w:rPr>
          <w:rFonts w:ascii="Sabon" w:hAnsi="Sabon" w:cs="Arial"/>
          <w:b/>
          <w:i/>
          <w:snapToGrid/>
          <w:color w:val="000000"/>
          <w:sz w:val="22"/>
          <w:szCs w:val="22"/>
          <w:lang w:eastAsia="en-GB"/>
        </w:rPr>
      </w:pPr>
    </w:p>
    <w:p w:rsidR="00A86BFA" w:rsidRPr="001F01F6" w:rsidRDefault="00A86BFA" w:rsidP="009F25FC">
      <w:pPr>
        <w:widowControl/>
        <w:autoSpaceDE w:val="0"/>
        <w:autoSpaceDN w:val="0"/>
        <w:adjustRightInd w:val="0"/>
        <w:spacing w:line="276" w:lineRule="auto"/>
        <w:rPr>
          <w:rFonts w:ascii="Sabon" w:hAnsi="Sabon" w:cs="Arial"/>
          <w:b/>
          <w:i/>
          <w:snapToGrid/>
          <w:color w:val="000000"/>
          <w:sz w:val="22"/>
          <w:szCs w:val="22"/>
          <w:lang w:eastAsia="en-GB"/>
        </w:rPr>
      </w:pPr>
      <w:r w:rsidRPr="001F01F6">
        <w:rPr>
          <w:rFonts w:ascii="Sabon" w:hAnsi="Sabon" w:cs="Arial"/>
          <w:b/>
          <w:i/>
          <w:snapToGrid/>
          <w:color w:val="000000"/>
          <w:sz w:val="22"/>
          <w:szCs w:val="22"/>
          <w:lang w:eastAsia="en-GB"/>
        </w:rPr>
        <w:t xml:space="preserve">The TUC </w:t>
      </w:r>
      <w:r w:rsidR="00813E75" w:rsidRPr="001F01F6">
        <w:rPr>
          <w:rFonts w:ascii="Sabon" w:hAnsi="Sabon" w:cs="Arial"/>
          <w:b/>
          <w:i/>
          <w:snapToGrid/>
          <w:color w:val="000000"/>
          <w:sz w:val="22"/>
          <w:szCs w:val="22"/>
          <w:lang w:eastAsia="en-GB"/>
        </w:rPr>
        <w:t>recom</w:t>
      </w:r>
      <w:r w:rsidR="00813E75">
        <w:rPr>
          <w:rFonts w:ascii="Sabon" w:hAnsi="Sabon" w:cs="Arial"/>
          <w:b/>
          <w:i/>
          <w:snapToGrid/>
          <w:color w:val="000000"/>
          <w:sz w:val="22"/>
          <w:szCs w:val="22"/>
          <w:lang w:eastAsia="en-GB"/>
        </w:rPr>
        <w:t>mends</w:t>
      </w:r>
      <w:r w:rsidRPr="001F01F6">
        <w:rPr>
          <w:rFonts w:ascii="Sabon" w:hAnsi="Sabon" w:cs="Arial"/>
          <w:b/>
          <w:i/>
          <w:snapToGrid/>
          <w:color w:val="000000"/>
          <w:sz w:val="22"/>
          <w:szCs w:val="22"/>
          <w:lang w:eastAsia="en-GB"/>
        </w:rPr>
        <w:t xml:space="preserve"> that the adult rate should be increased to </w:t>
      </w:r>
      <w:r w:rsidR="002443DD">
        <w:rPr>
          <w:rFonts w:ascii="Sabon" w:hAnsi="Sabon" w:cs="Arial"/>
          <w:b/>
          <w:i/>
          <w:snapToGrid/>
          <w:color w:val="000000"/>
          <w:sz w:val="22"/>
          <w:szCs w:val="22"/>
          <w:lang w:eastAsia="en-GB"/>
        </w:rPr>
        <w:t xml:space="preserve">significantly </w:t>
      </w:r>
      <w:r w:rsidRPr="001F01F6">
        <w:rPr>
          <w:rFonts w:ascii="Sabon" w:hAnsi="Sabon" w:cs="Arial"/>
          <w:b/>
          <w:i/>
          <w:snapToGrid/>
          <w:color w:val="000000"/>
          <w:sz w:val="22"/>
          <w:szCs w:val="22"/>
          <w:lang w:eastAsia="en-GB"/>
        </w:rPr>
        <w:t xml:space="preserve">more than £7.00 per hour </w:t>
      </w:r>
      <w:r w:rsidR="001F01F6" w:rsidRPr="001F01F6">
        <w:rPr>
          <w:rFonts w:ascii="Sabon" w:hAnsi="Sabon" w:cs="Arial"/>
          <w:b/>
          <w:i/>
          <w:snapToGrid/>
          <w:color w:val="000000"/>
          <w:sz w:val="22"/>
          <w:szCs w:val="22"/>
          <w:lang w:eastAsia="en-GB"/>
        </w:rPr>
        <w:t xml:space="preserve">this year. We </w:t>
      </w:r>
      <w:r w:rsidR="00813E75" w:rsidRPr="001F01F6">
        <w:rPr>
          <w:rFonts w:ascii="Sabon" w:hAnsi="Sabon" w:cs="Arial"/>
          <w:b/>
          <w:i/>
          <w:snapToGrid/>
          <w:color w:val="000000"/>
          <w:sz w:val="22"/>
          <w:szCs w:val="22"/>
          <w:lang w:eastAsia="en-GB"/>
        </w:rPr>
        <w:t>believe</w:t>
      </w:r>
      <w:r w:rsidR="001F01F6" w:rsidRPr="001F01F6">
        <w:rPr>
          <w:rFonts w:ascii="Sabon" w:hAnsi="Sabon" w:cs="Arial"/>
          <w:b/>
          <w:i/>
          <w:snapToGrid/>
          <w:color w:val="000000"/>
          <w:sz w:val="22"/>
          <w:szCs w:val="22"/>
          <w:lang w:eastAsia="en-GB"/>
        </w:rPr>
        <w:t xml:space="preserve"> that </w:t>
      </w:r>
      <w:r w:rsidR="00565443">
        <w:rPr>
          <w:rFonts w:ascii="Sabon" w:hAnsi="Sabon" w:cs="Arial"/>
          <w:b/>
          <w:i/>
          <w:snapToGrid/>
          <w:color w:val="000000"/>
          <w:sz w:val="22"/>
          <w:szCs w:val="22"/>
          <w:lang w:eastAsia="en-GB"/>
        </w:rPr>
        <w:t xml:space="preserve">this </w:t>
      </w:r>
      <w:r w:rsidR="00A82B02">
        <w:rPr>
          <w:rFonts w:ascii="Sabon" w:hAnsi="Sabon" w:cs="Arial"/>
          <w:b/>
          <w:i/>
          <w:snapToGrid/>
          <w:color w:val="000000"/>
          <w:sz w:val="22"/>
          <w:szCs w:val="22"/>
          <w:lang w:eastAsia="en-GB"/>
        </w:rPr>
        <w:t xml:space="preserve">is </w:t>
      </w:r>
      <w:r w:rsidR="00A82B02" w:rsidRPr="001F01F6">
        <w:rPr>
          <w:rFonts w:ascii="Sabon" w:hAnsi="Sabon" w:cs="Arial"/>
          <w:b/>
          <w:i/>
          <w:snapToGrid/>
          <w:color w:val="000000"/>
          <w:sz w:val="22"/>
          <w:szCs w:val="22"/>
          <w:lang w:eastAsia="en-GB"/>
        </w:rPr>
        <w:t>a</w:t>
      </w:r>
      <w:r w:rsidR="001F01F6" w:rsidRPr="001F01F6">
        <w:rPr>
          <w:rFonts w:ascii="Sabon" w:hAnsi="Sabon" w:cs="Arial"/>
          <w:b/>
          <w:i/>
          <w:snapToGrid/>
          <w:color w:val="000000"/>
          <w:sz w:val="22"/>
          <w:szCs w:val="22"/>
          <w:lang w:eastAsia="en-GB"/>
        </w:rPr>
        <w:t xml:space="preserve"> figure that can be absorbed without </w:t>
      </w:r>
      <w:r w:rsidR="00813E75" w:rsidRPr="001F01F6">
        <w:rPr>
          <w:rFonts w:ascii="Sabon" w:hAnsi="Sabon" w:cs="Arial"/>
          <w:b/>
          <w:i/>
          <w:snapToGrid/>
          <w:color w:val="000000"/>
          <w:sz w:val="22"/>
          <w:szCs w:val="22"/>
          <w:lang w:eastAsia="en-GB"/>
        </w:rPr>
        <w:t>g</w:t>
      </w:r>
      <w:r w:rsidR="00813E75">
        <w:rPr>
          <w:rFonts w:ascii="Sabon" w:hAnsi="Sabon" w:cs="Arial"/>
          <w:b/>
          <w:i/>
          <w:snapToGrid/>
          <w:color w:val="000000"/>
          <w:sz w:val="22"/>
          <w:szCs w:val="22"/>
          <w:lang w:eastAsia="en-GB"/>
        </w:rPr>
        <w:t>e</w:t>
      </w:r>
      <w:r w:rsidR="00813E75" w:rsidRPr="001F01F6">
        <w:rPr>
          <w:rFonts w:ascii="Sabon" w:hAnsi="Sabon" w:cs="Arial"/>
          <w:b/>
          <w:i/>
          <w:snapToGrid/>
          <w:color w:val="000000"/>
          <w:sz w:val="22"/>
          <w:szCs w:val="22"/>
          <w:lang w:eastAsia="en-GB"/>
        </w:rPr>
        <w:t>nerating</w:t>
      </w:r>
      <w:r w:rsidR="001F01F6" w:rsidRPr="001F01F6">
        <w:rPr>
          <w:rFonts w:ascii="Sabon" w:hAnsi="Sabon" w:cs="Arial"/>
          <w:b/>
          <w:i/>
          <w:snapToGrid/>
          <w:color w:val="000000"/>
          <w:sz w:val="22"/>
          <w:szCs w:val="22"/>
          <w:lang w:eastAsia="en-GB"/>
        </w:rPr>
        <w:t xml:space="preserve"> any </w:t>
      </w:r>
      <w:r w:rsidR="002443DD">
        <w:rPr>
          <w:rFonts w:ascii="Sabon" w:hAnsi="Sabon" w:cs="Arial"/>
          <w:b/>
          <w:i/>
          <w:snapToGrid/>
          <w:color w:val="000000"/>
          <w:sz w:val="22"/>
          <w:szCs w:val="22"/>
          <w:lang w:eastAsia="en-GB"/>
        </w:rPr>
        <w:t xml:space="preserve">measurable </w:t>
      </w:r>
      <w:r w:rsidR="001F01F6" w:rsidRPr="001F01F6">
        <w:rPr>
          <w:rFonts w:ascii="Sabon" w:hAnsi="Sabon" w:cs="Arial"/>
          <w:b/>
          <w:i/>
          <w:snapToGrid/>
          <w:color w:val="000000"/>
          <w:sz w:val="22"/>
          <w:szCs w:val="22"/>
          <w:lang w:eastAsia="en-GB"/>
        </w:rPr>
        <w:t xml:space="preserve">negative economic side </w:t>
      </w:r>
      <w:r w:rsidR="00813E75" w:rsidRPr="001F01F6">
        <w:rPr>
          <w:rFonts w:ascii="Sabon" w:hAnsi="Sabon" w:cs="Arial"/>
          <w:b/>
          <w:i/>
          <w:snapToGrid/>
          <w:color w:val="000000"/>
          <w:sz w:val="22"/>
          <w:szCs w:val="22"/>
          <w:lang w:eastAsia="en-GB"/>
        </w:rPr>
        <w:t>effects</w:t>
      </w:r>
      <w:r w:rsidR="001F01F6" w:rsidRPr="001F01F6">
        <w:rPr>
          <w:rFonts w:ascii="Sabon" w:hAnsi="Sabon" w:cs="Arial"/>
          <w:b/>
          <w:i/>
          <w:snapToGrid/>
          <w:color w:val="000000"/>
          <w:sz w:val="22"/>
          <w:szCs w:val="22"/>
          <w:lang w:eastAsia="en-GB"/>
        </w:rPr>
        <w:t xml:space="preserve">. </w:t>
      </w:r>
      <w:r w:rsidR="00A1347C" w:rsidRPr="001F01F6">
        <w:rPr>
          <w:rFonts w:ascii="Sabon" w:hAnsi="Sabon" w:cs="Arial"/>
          <w:b/>
          <w:i/>
          <w:snapToGrid/>
          <w:color w:val="000000"/>
          <w:sz w:val="22"/>
          <w:szCs w:val="22"/>
          <w:lang w:eastAsia="en-GB"/>
        </w:rPr>
        <w:t xml:space="preserve">Indeed, we </w:t>
      </w:r>
      <w:r w:rsidR="00A1347C">
        <w:rPr>
          <w:rFonts w:ascii="Sabon" w:hAnsi="Sabon" w:cs="Arial"/>
          <w:b/>
          <w:i/>
          <w:snapToGrid/>
          <w:color w:val="000000"/>
          <w:sz w:val="22"/>
          <w:szCs w:val="22"/>
          <w:lang w:eastAsia="en-GB"/>
        </w:rPr>
        <w:t>believe</w:t>
      </w:r>
      <w:r w:rsidR="00A1347C" w:rsidRPr="001F01F6">
        <w:rPr>
          <w:rFonts w:ascii="Sabon" w:hAnsi="Sabon" w:cs="Arial"/>
          <w:b/>
          <w:i/>
          <w:snapToGrid/>
          <w:color w:val="000000"/>
          <w:sz w:val="22"/>
          <w:szCs w:val="22"/>
          <w:lang w:eastAsia="en-GB"/>
        </w:rPr>
        <w:t xml:space="preserve"> that the Treasury </w:t>
      </w:r>
      <w:r w:rsidR="00A1347C">
        <w:rPr>
          <w:rFonts w:ascii="Sabon" w:hAnsi="Sabon" w:cs="Arial"/>
          <w:b/>
          <w:i/>
          <w:snapToGrid/>
          <w:color w:val="000000"/>
          <w:sz w:val="22"/>
          <w:szCs w:val="22"/>
          <w:lang w:eastAsia="en-GB"/>
        </w:rPr>
        <w:t>are likely to</w:t>
      </w:r>
      <w:r w:rsidR="00A1347C" w:rsidRPr="001F01F6">
        <w:rPr>
          <w:rFonts w:ascii="Sabon" w:hAnsi="Sabon" w:cs="Arial"/>
          <w:b/>
          <w:i/>
          <w:snapToGrid/>
          <w:color w:val="000000"/>
          <w:sz w:val="22"/>
          <w:szCs w:val="22"/>
          <w:lang w:eastAsia="en-GB"/>
        </w:rPr>
        <w:t xml:space="preserve"> give a clean bill of health </w:t>
      </w:r>
      <w:r w:rsidR="00A1347C">
        <w:rPr>
          <w:rFonts w:ascii="Sabon" w:hAnsi="Sabon" w:cs="Arial"/>
          <w:b/>
          <w:i/>
          <w:snapToGrid/>
          <w:color w:val="000000"/>
          <w:sz w:val="22"/>
          <w:szCs w:val="22"/>
          <w:lang w:eastAsia="en-GB"/>
        </w:rPr>
        <w:t xml:space="preserve">for a significant increase </w:t>
      </w:r>
      <w:r w:rsidR="00A1347C" w:rsidRPr="001F01F6">
        <w:rPr>
          <w:rFonts w:ascii="Sabon" w:hAnsi="Sabon" w:cs="Arial"/>
          <w:b/>
          <w:i/>
          <w:snapToGrid/>
          <w:color w:val="000000"/>
          <w:sz w:val="22"/>
          <w:szCs w:val="22"/>
          <w:lang w:eastAsia="en-GB"/>
        </w:rPr>
        <w:t xml:space="preserve">when the government submits its own evidence to the </w:t>
      </w:r>
      <w:r w:rsidR="00A1347C">
        <w:rPr>
          <w:rFonts w:ascii="Sabon" w:hAnsi="Sabon" w:cs="Arial"/>
          <w:b/>
          <w:i/>
          <w:snapToGrid/>
          <w:color w:val="000000"/>
          <w:sz w:val="22"/>
          <w:szCs w:val="22"/>
          <w:lang w:eastAsia="en-GB"/>
        </w:rPr>
        <w:t>C</w:t>
      </w:r>
      <w:r w:rsidR="00A1347C" w:rsidRPr="001F01F6">
        <w:rPr>
          <w:rFonts w:ascii="Sabon" w:hAnsi="Sabon" w:cs="Arial"/>
          <w:b/>
          <w:i/>
          <w:snapToGrid/>
          <w:color w:val="000000"/>
          <w:sz w:val="22"/>
          <w:szCs w:val="22"/>
          <w:lang w:eastAsia="en-GB"/>
        </w:rPr>
        <w:t>ommission.</w:t>
      </w:r>
    </w:p>
    <w:p w:rsidR="00A86BFA" w:rsidRPr="001F01F6" w:rsidRDefault="00A86BFA" w:rsidP="001F01F6">
      <w:pPr>
        <w:widowControl/>
        <w:autoSpaceDE w:val="0"/>
        <w:autoSpaceDN w:val="0"/>
        <w:adjustRightInd w:val="0"/>
        <w:spacing w:line="276" w:lineRule="auto"/>
        <w:rPr>
          <w:rFonts w:ascii="Sabon" w:hAnsi="Sabon" w:cs="Arial"/>
          <w:b/>
          <w:i/>
          <w:snapToGrid/>
          <w:color w:val="000000"/>
          <w:sz w:val="22"/>
          <w:szCs w:val="22"/>
          <w:lang w:eastAsia="en-GB"/>
        </w:rPr>
      </w:pPr>
    </w:p>
    <w:p w:rsidR="001F01F6" w:rsidRPr="001F01F6" w:rsidRDefault="001F01F6" w:rsidP="001F01F6">
      <w:pPr>
        <w:widowControl/>
        <w:autoSpaceDE w:val="0"/>
        <w:autoSpaceDN w:val="0"/>
        <w:adjustRightInd w:val="0"/>
        <w:spacing w:line="276" w:lineRule="auto"/>
        <w:rPr>
          <w:rFonts w:ascii="Sabon" w:hAnsi="Sabon" w:cs="Arial"/>
          <w:b/>
          <w:i/>
          <w:snapToGrid/>
          <w:color w:val="000000"/>
          <w:sz w:val="22"/>
          <w:szCs w:val="22"/>
          <w:lang w:eastAsia="en-GB"/>
        </w:rPr>
      </w:pPr>
      <w:r w:rsidRPr="001F01F6">
        <w:rPr>
          <w:rFonts w:ascii="Sabon" w:hAnsi="Sabon" w:cs="Arial"/>
          <w:b/>
          <w:i/>
          <w:snapToGrid/>
          <w:color w:val="000000"/>
          <w:sz w:val="22"/>
          <w:szCs w:val="22"/>
          <w:lang w:eastAsia="en-GB"/>
        </w:rPr>
        <w:lastRenderedPageBreak/>
        <w:t xml:space="preserve">The youth rate and </w:t>
      </w:r>
      <w:r w:rsidR="00813E75" w:rsidRPr="001F01F6">
        <w:rPr>
          <w:rFonts w:ascii="Sabon" w:hAnsi="Sabon" w:cs="Arial"/>
          <w:b/>
          <w:i/>
          <w:snapToGrid/>
          <w:color w:val="000000"/>
          <w:sz w:val="22"/>
          <w:szCs w:val="22"/>
          <w:lang w:eastAsia="en-GB"/>
        </w:rPr>
        <w:t>development</w:t>
      </w:r>
      <w:r w:rsidRPr="001F01F6">
        <w:rPr>
          <w:rFonts w:ascii="Sabon" w:hAnsi="Sabon" w:cs="Arial"/>
          <w:b/>
          <w:i/>
          <w:snapToGrid/>
          <w:color w:val="000000"/>
          <w:sz w:val="22"/>
          <w:szCs w:val="22"/>
          <w:lang w:eastAsia="en-GB"/>
        </w:rPr>
        <w:t xml:space="preserve"> rate should both increase </w:t>
      </w:r>
      <w:r w:rsidR="00813E75" w:rsidRPr="001F01F6">
        <w:rPr>
          <w:rFonts w:ascii="Sabon" w:hAnsi="Sabon" w:cs="Arial"/>
          <w:b/>
          <w:i/>
          <w:snapToGrid/>
          <w:color w:val="000000"/>
          <w:sz w:val="22"/>
          <w:szCs w:val="22"/>
          <w:lang w:eastAsia="en-GB"/>
        </w:rPr>
        <w:t>faster</w:t>
      </w:r>
      <w:r w:rsidRPr="001F01F6">
        <w:rPr>
          <w:rFonts w:ascii="Sabon" w:hAnsi="Sabon" w:cs="Arial"/>
          <w:b/>
          <w:i/>
          <w:snapToGrid/>
          <w:color w:val="000000"/>
          <w:sz w:val="22"/>
          <w:szCs w:val="22"/>
          <w:lang w:eastAsia="en-GB"/>
        </w:rPr>
        <w:t xml:space="preserve"> than inflation and the rise in </w:t>
      </w:r>
      <w:r w:rsidR="00813E75" w:rsidRPr="001F01F6">
        <w:rPr>
          <w:rFonts w:ascii="Sabon" w:hAnsi="Sabon" w:cs="Arial"/>
          <w:b/>
          <w:i/>
          <w:snapToGrid/>
          <w:color w:val="000000"/>
          <w:sz w:val="22"/>
          <w:szCs w:val="22"/>
          <w:lang w:eastAsia="en-GB"/>
        </w:rPr>
        <w:t>average</w:t>
      </w:r>
      <w:r w:rsidRPr="001F01F6">
        <w:rPr>
          <w:rFonts w:ascii="Sabon" w:hAnsi="Sabon" w:cs="Arial"/>
          <w:b/>
          <w:i/>
          <w:snapToGrid/>
          <w:color w:val="000000"/>
          <w:sz w:val="22"/>
          <w:szCs w:val="22"/>
          <w:lang w:eastAsia="en-GB"/>
        </w:rPr>
        <w:t xml:space="preserve"> </w:t>
      </w:r>
      <w:r w:rsidR="00813E75" w:rsidRPr="001F01F6">
        <w:rPr>
          <w:rFonts w:ascii="Sabon" w:hAnsi="Sabon" w:cs="Arial"/>
          <w:b/>
          <w:i/>
          <w:snapToGrid/>
          <w:color w:val="000000"/>
          <w:sz w:val="22"/>
          <w:szCs w:val="22"/>
          <w:lang w:eastAsia="en-GB"/>
        </w:rPr>
        <w:t>earnings</w:t>
      </w:r>
      <w:r w:rsidRPr="001F01F6">
        <w:rPr>
          <w:rFonts w:ascii="Sabon" w:hAnsi="Sabon" w:cs="Arial"/>
          <w:b/>
          <w:i/>
          <w:snapToGrid/>
          <w:color w:val="000000"/>
          <w:sz w:val="22"/>
          <w:szCs w:val="22"/>
          <w:lang w:eastAsia="en-GB"/>
        </w:rPr>
        <w:t xml:space="preserve">, in order to help make </w:t>
      </w:r>
      <w:r w:rsidR="00813E75" w:rsidRPr="001F01F6">
        <w:rPr>
          <w:rFonts w:ascii="Sabon" w:hAnsi="Sabon" w:cs="Arial"/>
          <w:b/>
          <w:i/>
          <w:snapToGrid/>
          <w:color w:val="000000"/>
          <w:sz w:val="22"/>
          <w:szCs w:val="22"/>
          <w:lang w:eastAsia="en-GB"/>
        </w:rPr>
        <w:t>up</w:t>
      </w:r>
      <w:r w:rsidRPr="001F01F6">
        <w:rPr>
          <w:rFonts w:ascii="Sabon" w:hAnsi="Sabon" w:cs="Arial"/>
          <w:b/>
          <w:i/>
          <w:snapToGrid/>
          <w:color w:val="000000"/>
          <w:sz w:val="22"/>
          <w:szCs w:val="22"/>
          <w:lang w:eastAsia="en-GB"/>
        </w:rPr>
        <w:t xml:space="preserve"> what has been lost during the recession </w:t>
      </w:r>
      <w:r w:rsidR="00813E75" w:rsidRPr="001F01F6">
        <w:rPr>
          <w:rFonts w:ascii="Sabon" w:hAnsi="Sabon" w:cs="Arial"/>
          <w:b/>
          <w:i/>
          <w:snapToGrid/>
          <w:color w:val="000000"/>
          <w:sz w:val="22"/>
          <w:szCs w:val="22"/>
          <w:lang w:eastAsia="en-GB"/>
        </w:rPr>
        <w:t>years</w:t>
      </w:r>
      <w:r w:rsidRPr="001F01F6">
        <w:rPr>
          <w:rFonts w:ascii="Sabon" w:hAnsi="Sabon" w:cs="Arial"/>
          <w:b/>
          <w:i/>
          <w:snapToGrid/>
          <w:color w:val="000000"/>
          <w:sz w:val="22"/>
          <w:szCs w:val="22"/>
          <w:lang w:eastAsia="en-GB"/>
        </w:rPr>
        <w:t>.</w:t>
      </w:r>
    </w:p>
    <w:p w:rsidR="001F01F6" w:rsidRDefault="001F01F6" w:rsidP="001F01F6">
      <w:pPr>
        <w:widowControl/>
        <w:autoSpaceDE w:val="0"/>
        <w:autoSpaceDN w:val="0"/>
        <w:adjustRightInd w:val="0"/>
        <w:spacing w:line="276" w:lineRule="auto"/>
        <w:rPr>
          <w:rFonts w:ascii="Sabon" w:hAnsi="Sabon" w:cs="Arial"/>
          <w:snapToGrid/>
          <w:color w:val="000000"/>
          <w:sz w:val="22"/>
          <w:szCs w:val="22"/>
          <w:lang w:eastAsia="en-GB"/>
        </w:rPr>
      </w:pPr>
    </w:p>
    <w:p w:rsidR="00DE3149" w:rsidRPr="001F01F6" w:rsidRDefault="001F01F6" w:rsidP="001626BD">
      <w:pPr>
        <w:pStyle w:val="T5TextBody"/>
        <w:spacing w:line="276" w:lineRule="auto"/>
        <w:rPr>
          <w:b/>
          <w:i/>
        </w:rPr>
      </w:pPr>
      <w:r w:rsidRPr="001F01F6">
        <w:rPr>
          <w:b/>
          <w:i/>
        </w:rPr>
        <w:t xml:space="preserve">As discussed in the previous </w:t>
      </w:r>
      <w:r w:rsidR="00587F36">
        <w:rPr>
          <w:b/>
          <w:i/>
        </w:rPr>
        <w:t>section</w:t>
      </w:r>
      <w:r w:rsidRPr="001F01F6">
        <w:rPr>
          <w:b/>
          <w:i/>
        </w:rPr>
        <w:t xml:space="preserve">, the availability of the </w:t>
      </w:r>
      <w:r w:rsidR="00813E75" w:rsidRPr="001F01F6">
        <w:rPr>
          <w:b/>
          <w:i/>
        </w:rPr>
        <w:t>discounted</w:t>
      </w:r>
      <w:r w:rsidRPr="001F01F6">
        <w:rPr>
          <w:b/>
          <w:i/>
        </w:rPr>
        <w:t xml:space="preserve"> apprentice rate should be </w:t>
      </w:r>
      <w:r w:rsidR="00813E75" w:rsidRPr="001F01F6">
        <w:rPr>
          <w:b/>
          <w:i/>
        </w:rPr>
        <w:t>constrained</w:t>
      </w:r>
      <w:r w:rsidRPr="001F01F6">
        <w:rPr>
          <w:b/>
          <w:i/>
        </w:rPr>
        <w:t xml:space="preserve"> to younger workers undertaking intermediate </w:t>
      </w:r>
      <w:r w:rsidR="00813E75" w:rsidRPr="001F01F6">
        <w:rPr>
          <w:b/>
          <w:i/>
        </w:rPr>
        <w:t>apprenticeships</w:t>
      </w:r>
      <w:r w:rsidRPr="001F01F6">
        <w:rPr>
          <w:b/>
          <w:i/>
        </w:rPr>
        <w:t xml:space="preserve"> only, and the LPC should consider whether this rate could be raised to the </w:t>
      </w:r>
      <w:r w:rsidR="00813E75" w:rsidRPr="001F01F6">
        <w:rPr>
          <w:b/>
          <w:i/>
        </w:rPr>
        <w:t>level</w:t>
      </w:r>
      <w:r w:rsidRPr="001F01F6">
        <w:rPr>
          <w:b/>
          <w:i/>
        </w:rPr>
        <w:t xml:space="preserve"> of the young workers rate. </w:t>
      </w:r>
    </w:p>
    <w:p w:rsidR="00A82B02" w:rsidRDefault="00A82B02" w:rsidP="003D791C">
      <w:pPr>
        <w:pStyle w:val="T5TextBody"/>
      </w:pPr>
    </w:p>
    <w:p w:rsidR="003D791C" w:rsidRDefault="00AC5857" w:rsidP="003D791C">
      <w:pPr>
        <w:pStyle w:val="T5TextBody"/>
        <w:rPr>
          <w:rFonts w:ascii="Frutiger 55" w:hAnsi="Frutiger 55"/>
          <w:b/>
        </w:rPr>
      </w:pPr>
      <w:r>
        <w:rPr>
          <w:rFonts w:ascii="Frutiger 55" w:hAnsi="Frutiger 55"/>
          <w:b/>
        </w:rPr>
        <w:t>8</w:t>
      </w:r>
      <w:r w:rsidR="003D791C">
        <w:rPr>
          <w:rFonts w:ascii="Frutiger 55" w:hAnsi="Frutiger 55"/>
          <w:b/>
        </w:rPr>
        <w:t>: The Agricultural Wages Board</w:t>
      </w:r>
      <w:r w:rsidR="00EE1A7D">
        <w:rPr>
          <w:rFonts w:ascii="Frutiger 55" w:hAnsi="Frutiger 55"/>
          <w:b/>
        </w:rPr>
        <w:t>s</w:t>
      </w:r>
      <w:r w:rsidR="003D791C">
        <w:rPr>
          <w:rFonts w:ascii="Frutiger 55" w:hAnsi="Frutiger 55"/>
          <w:b/>
        </w:rPr>
        <w:t xml:space="preserve"> </w:t>
      </w:r>
    </w:p>
    <w:p w:rsidR="00EE1A7D" w:rsidRDefault="00067635" w:rsidP="00E729F9">
      <w:pPr>
        <w:pStyle w:val="T5TextBody"/>
        <w:spacing w:line="276" w:lineRule="auto"/>
      </w:pPr>
      <w:r>
        <w:t xml:space="preserve">The government abolished the </w:t>
      </w:r>
      <w:r w:rsidR="00AC5857">
        <w:t>A</w:t>
      </w:r>
      <w:r w:rsidR="00813E75">
        <w:t>gricultural</w:t>
      </w:r>
      <w:r>
        <w:t xml:space="preserve"> </w:t>
      </w:r>
      <w:r w:rsidR="00AC5857">
        <w:t>W</w:t>
      </w:r>
      <w:r>
        <w:t xml:space="preserve">ages </w:t>
      </w:r>
      <w:r w:rsidR="00AC5857">
        <w:t>B</w:t>
      </w:r>
      <w:r w:rsidR="00813E75">
        <w:t>oard</w:t>
      </w:r>
      <w:r>
        <w:t xml:space="preserve"> for </w:t>
      </w:r>
      <w:r w:rsidR="00813E75">
        <w:t>England</w:t>
      </w:r>
      <w:r>
        <w:t xml:space="preserve"> </w:t>
      </w:r>
      <w:r w:rsidR="00813E75">
        <w:t>and</w:t>
      </w:r>
      <w:r>
        <w:t xml:space="preserve"> Wales in 2013. </w:t>
      </w:r>
      <w:r w:rsidR="0011165B">
        <w:t>S</w:t>
      </w:r>
      <w:r w:rsidR="00A1347C">
        <w:t>eparate</w:t>
      </w:r>
      <w:r w:rsidR="00EE1A7D">
        <w:t xml:space="preserve"> boards </w:t>
      </w:r>
      <w:r w:rsidR="0011165B">
        <w:t>have been</w:t>
      </w:r>
      <w:r w:rsidR="00EE1A7D">
        <w:t xml:space="preserve"> </w:t>
      </w:r>
      <w:r w:rsidR="00A1347C">
        <w:t>retained</w:t>
      </w:r>
      <w:r w:rsidR="00EE1A7D">
        <w:t xml:space="preserve"> in Scotland and Northern Ireland. </w:t>
      </w:r>
    </w:p>
    <w:p w:rsidR="00067635" w:rsidRDefault="00EE1A7D" w:rsidP="00E729F9">
      <w:pPr>
        <w:pStyle w:val="T5TextBody"/>
        <w:spacing w:line="276" w:lineRule="auto"/>
      </w:pPr>
      <w:r>
        <w:t>Abolition</w:t>
      </w:r>
      <w:r w:rsidR="00813E75">
        <w:t xml:space="preserve"> was supported </w:t>
      </w:r>
      <w:r w:rsidR="00DF712A">
        <w:t>by large</w:t>
      </w:r>
      <w:r w:rsidR="0011165B">
        <w:t xml:space="preserve"> </w:t>
      </w:r>
      <w:r w:rsidR="00D46FB9">
        <w:t>horticultural</w:t>
      </w:r>
      <w:r w:rsidR="0011165B">
        <w:t xml:space="preserve"> </w:t>
      </w:r>
      <w:r w:rsidR="00813E75">
        <w:t xml:space="preserve">businesses in </w:t>
      </w:r>
      <w:r w:rsidR="0011165B">
        <w:t xml:space="preserve">particular, under pressure </w:t>
      </w:r>
      <w:r w:rsidR="00D46FB9">
        <w:t>from</w:t>
      </w:r>
      <w:r w:rsidR="0011165B">
        <w:t xml:space="preserve"> retailers on prices, and by the NFU in England and Wales.  However, </w:t>
      </w:r>
      <w:r w:rsidR="00D46FB9">
        <w:t>the</w:t>
      </w:r>
      <w:r w:rsidR="0011165B">
        <w:t xml:space="preserve"> Farmers Union of Wales was among the 86 per cent of Welsh </w:t>
      </w:r>
      <w:r w:rsidR="00D46FB9">
        <w:t>respondents</w:t>
      </w:r>
      <w:r w:rsidR="0011165B">
        <w:t xml:space="preserve"> who </w:t>
      </w:r>
      <w:r w:rsidR="00813E75">
        <w:t>oppose</w:t>
      </w:r>
      <w:r w:rsidR="008C6977">
        <w:t>d</w:t>
      </w:r>
      <w:r w:rsidR="00813E75">
        <w:t xml:space="preserve"> abolition.</w:t>
      </w:r>
    </w:p>
    <w:p w:rsidR="00F3794D" w:rsidRDefault="00D46FB9" w:rsidP="00E729F9">
      <w:pPr>
        <w:pStyle w:val="T5TextBody"/>
        <w:spacing w:line="276" w:lineRule="auto"/>
      </w:pPr>
      <w:r>
        <w:t xml:space="preserve">The Agricultural Sector (Wales) </w:t>
      </w:r>
      <w:r w:rsidR="00DF712A">
        <w:t>Act (</w:t>
      </w:r>
      <w:r>
        <w:t xml:space="preserve">2014) maintains the statutory regulation for agricultural employment in Wales that would otherwise have ceased with the abolition of the AWB, and preserves the application of the Agricultural Wages Order (2012) for farm workers in Wales. </w:t>
      </w:r>
    </w:p>
    <w:p w:rsidR="00F3794D" w:rsidRDefault="00067635" w:rsidP="00E729F9">
      <w:pPr>
        <w:pStyle w:val="T5TextBody"/>
        <w:spacing w:line="276" w:lineRule="auto"/>
      </w:pPr>
      <w:r>
        <w:t xml:space="preserve">The </w:t>
      </w:r>
      <w:r w:rsidR="00813E75">
        <w:t>matter</w:t>
      </w:r>
      <w:r>
        <w:t xml:space="preserve"> was delayed for sometime because the </w:t>
      </w:r>
      <w:r w:rsidR="00AC5857">
        <w:t>B</w:t>
      </w:r>
      <w:r>
        <w:t xml:space="preserve">ill was referred to the </w:t>
      </w:r>
      <w:r w:rsidR="00AC5857">
        <w:t>Supreme Court</w:t>
      </w:r>
      <w:r w:rsidR="00F429AC">
        <w:t xml:space="preserve">. </w:t>
      </w:r>
      <w:r w:rsidR="00D46FB9">
        <w:t xml:space="preserve">However, the hearing found in favour of the Wales </w:t>
      </w:r>
      <w:r w:rsidR="002E57D4">
        <w:t>A</w:t>
      </w:r>
      <w:r w:rsidR="00D46FB9">
        <w:t xml:space="preserve">ssembly government in July 2014, so the act is now in force. </w:t>
      </w:r>
      <w:r w:rsidR="002E57D4">
        <w:t xml:space="preserve">It </w:t>
      </w:r>
      <w:r w:rsidR="00D46FB9">
        <w:t xml:space="preserve">places a duty on Welsh ministers to establish the Agricultural Advisory Panel for Wales and enables the minister to make future draft wages order on the basis of the panel's recommendations. </w:t>
      </w:r>
    </w:p>
    <w:p w:rsidR="00F3794D" w:rsidRDefault="00F3794D" w:rsidP="00E729F9">
      <w:pPr>
        <w:pStyle w:val="T5TextBody"/>
        <w:spacing w:line="276" w:lineRule="auto"/>
      </w:pPr>
      <w:r>
        <w:t xml:space="preserve">The </w:t>
      </w:r>
      <w:r w:rsidR="00D46FB9">
        <w:t>trade</w:t>
      </w:r>
      <w:r>
        <w:t xml:space="preserve"> union </w:t>
      </w:r>
      <w:r w:rsidR="00D46FB9">
        <w:t>U</w:t>
      </w:r>
      <w:r>
        <w:t xml:space="preserve">nite, which </w:t>
      </w:r>
      <w:r w:rsidR="00D46FB9">
        <w:t>represents</w:t>
      </w:r>
      <w:r>
        <w:t xml:space="preserve"> workers in </w:t>
      </w:r>
      <w:r w:rsidR="00D46FB9">
        <w:t>the</w:t>
      </w:r>
      <w:r>
        <w:t xml:space="preserve"> </w:t>
      </w:r>
      <w:r w:rsidR="00D46FB9">
        <w:t>industry,</w:t>
      </w:r>
      <w:r>
        <w:t xml:space="preserve"> argues strongly that the </w:t>
      </w:r>
      <w:r w:rsidR="00D46FB9">
        <w:t>makeup</w:t>
      </w:r>
      <w:r>
        <w:t xml:space="preserve"> of the </w:t>
      </w:r>
      <w:r w:rsidR="00D46FB9">
        <w:t>panel</w:t>
      </w:r>
      <w:r>
        <w:t xml:space="preserve"> must be constituted so as to generate genuine tripartite bargaining. </w:t>
      </w:r>
    </w:p>
    <w:p w:rsidR="001F31DB" w:rsidRDefault="001F31DB" w:rsidP="00E729F9">
      <w:pPr>
        <w:pStyle w:val="T5TextBody"/>
        <w:spacing w:line="276" w:lineRule="auto"/>
      </w:pPr>
      <w:r>
        <w:t xml:space="preserve">The TUC’s </w:t>
      </w:r>
      <w:r w:rsidR="00565443">
        <w:t xml:space="preserve">estimate </w:t>
      </w:r>
      <w:r>
        <w:t xml:space="preserve">is that the new body will set pay for </w:t>
      </w:r>
      <w:r w:rsidR="00D46FB9">
        <w:t>around 14</w:t>
      </w:r>
      <w:r>
        <w:t xml:space="preserve">,000 </w:t>
      </w:r>
      <w:r w:rsidR="00813E75">
        <w:t>agricultural</w:t>
      </w:r>
      <w:r>
        <w:t xml:space="preserve"> workers in Wales.  We </w:t>
      </w:r>
      <w:r w:rsidR="00813E75">
        <w:t>regard</w:t>
      </w:r>
      <w:r>
        <w:t xml:space="preserve"> this as good news, not least </w:t>
      </w:r>
      <w:r w:rsidR="00813E75">
        <w:t>because these</w:t>
      </w:r>
      <w:r>
        <w:t xml:space="preserve"> workers </w:t>
      </w:r>
      <w:r w:rsidR="008A7B99">
        <w:t>will now have better pay protection</w:t>
      </w:r>
      <w:r>
        <w:t xml:space="preserve">. </w:t>
      </w:r>
      <w:r w:rsidR="00813E75">
        <w:t xml:space="preserve">The government’s own estimate suggested that the abolition of the old body would </w:t>
      </w:r>
      <w:r w:rsidR="008A7B99">
        <w:t xml:space="preserve">reduce farm workers’ earnings </w:t>
      </w:r>
      <w:r w:rsidR="008C6977">
        <w:t xml:space="preserve">in Wales </w:t>
      </w:r>
      <w:r w:rsidR="008A7B99">
        <w:t xml:space="preserve">by </w:t>
      </w:r>
      <w:r w:rsidR="00813E75">
        <w:t xml:space="preserve">£1 million over the next decade. </w:t>
      </w:r>
    </w:p>
    <w:p w:rsidR="00EE1A7D" w:rsidRDefault="00EE1A7D" w:rsidP="00E729F9">
      <w:pPr>
        <w:pStyle w:val="T5TextBody"/>
        <w:spacing w:line="276" w:lineRule="auto"/>
      </w:pPr>
      <w:r>
        <w:t xml:space="preserve">In </w:t>
      </w:r>
      <w:r w:rsidR="00A1347C">
        <w:t>contrast</w:t>
      </w:r>
      <w:r>
        <w:t xml:space="preserve">, </w:t>
      </w:r>
      <w:r w:rsidR="00A1347C">
        <w:t>agricultural</w:t>
      </w:r>
      <w:r>
        <w:t xml:space="preserve"> workers in </w:t>
      </w:r>
      <w:r w:rsidR="00A1347C">
        <w:t>England</w:t>
      </w:r>
      <w:r>
        <w:t xml:space="preserve"> have no such protection, and the government has predicted that wages will fall in </w:t>
      </w:r>
      <w:r w:rsidR="00A1347C">
        <w:t>this</w:t>
      </w:r>
      <w:r>
        <w:t xml:space="preserve"> sector. It follows that the LPC should pay </w:t>
      </w:r>
      <w:r w:rsidR="00A1347C">
        <w:t>particular</w:t>
      </w:r>
      <w:r>
        <w:t xml:space="preserve"> attention to this sector in this and coming years.</w:t>
      </w:r>
    </w:p>
    <w:p w:rsidR="00D46FB9" w:rsidRDefault="00D46FB9" w:rsidP="00E729F9">
      <w:pPr>
        <w:pStyle w:val="T5TextBody"/>
        <w:spacing w:line="276" w:lineRule="auto"/>
      </w:pPr>
      <w:r>
        <w:t xml:space="preserve">A  Unite survey of members in England who had previously been covered by the AWB. The last statutory pay increases under the old legislation took place in October 2012. Only 56 per cent had received a pay rise since the AWB expired. Of those who had, 80 per cent had the increased imposed by their employer, and </w:t>
      </w:r>
      <w:r>
        <w:lastRenderedPageBreak/>
        <w:t>the average increase was smaller than that for the whole economy. These are significant grounds for concern.</w:t>
      </w:r>
    </w:p>
    <w:p w:rsidR="001F31DB" w:rsidRPr="00E729F9" w:rsidRDefault="00E729F9" w:rsidP="003D791C">
      <w:pPr>
        <w:pStyle w:val="T5TextBody"/>
        <w:rPr>
          <w:b/>
          <w:i/>
        </w:rPr>
      </w:pPr>
      <w:r w:rsidRPr="00E729F9">
        <w:rPr>
          <w:b/>
          <w:i/>
        </w:rPr>
        <w:t>The LPC should closely monitor the agr</w:t>
      </w:r>
      <w:r>
        <w:rPr>
          <w:b/>
          <w:i/>
        </w:rPr>
        <w:t>i</w:t>
      </w:r>
      <w:r w:rsidRPr="00E729F9">
        <w:rPr>
          <w:b/>
          <w:i/>
        </w:rPr>
        <w:t>c</w:t>
      </w:r>
      <w:r>
        <w:rPr>
          <w:b/>
          <w:i/>
        </w:rPr>
        <w:t>u</w:t>
      </w:r>
      <w:r w:rsidRPr="00E729F9">
        <w:rPr>
          <w:b/>
          <w:i/>
        </w:rPr>
        <w:t>ltural earnings and compliance with the minimum wage</w:t>
      </w:r>
      <w:r w:rsidR="00565443">
        <w:rPr>
          <w:b/>
          <w:i/>
        </w:rPr>
        <w:t xml:space="preserve">, giving particular attention to variation in trends between nations with and without Agricultural Wages Boards in place.  </w:t>
      </w:r>
    </w:p>
    <w:p w:rsidR="00EE1A7D" w:rsidRDefault="00EE1A7D" w:rsidP="00FA3539">
      <w:pPr>
        <w:pStyle w:val="T5TextBody"/>
        <w:rPr>
          <w:rFonts w:ascii="Frutiger 55" w:hAnsi="Frutiger 55"/>
          <w:b/>
        </w:rPr>
      </w:pPr>
    </w:p>
    <w:p w:rsidR="00FA3539" w:rsidRPr="00FA3539" w:rsidRDefault="00AC5857" w:rsidP="00FA3539">
      <w:pPr>
        <w:pStyle w:val="T5TextBody"/>
        <w:rPr>
          <w:rFonts w:ascii="Frutiger 55" w:hAnsi="Frutiger 55"/>
          <w:b/>
        </w:rPr>
      </w:pPr>
      <w:r>
        <w:rPr>
          <w:rFonts w:ascii="Frutiger 55" w:hAnsi="Frutiger 55"/>
          <w:b/>
        </w:rPr>
        <w:t>9</w:t>
      </w:r>
      <w:r w:rsidR="0027378E" w:rsidRPr="0027378E">
        <w:rPr>
          <w:rFonts w:ascii="Frutiger 55" w:hAnsi="Frutiger 55"/>
          <w:b/>
        </w:rPr>
        <w:t xml:space="preserve">: </w:t>
      </w:r>
      <w:r w:rsidR="00FA3539">
        <w:rPr>
          <w:rFonts w:ascii="Frutiger 55" w:hAnsi="Frutiger 55"/>
          <w:b/>
          <w:szCs w:val="22"/>
          <w:lang w:val="en-US" w:eastAsia="en-GB"/>
        </w:rPr>
        <w:t>Awareness, guidance and e</w:t>
      </w:r>
      <w:r w:rsidR="00FA3539" w:rsidRPr="00A31B85">
        <w:rPr>
          <w:rFonts w:ascii="Frutiger 55" w:hAnsi="Frutiger 55"/>
          <w:b/>
          <w:szCs w:val="22"/>
          <w:lang w:val="en-US" w:eastAsia="en-GB"/>
        </w:rPr>
        <w:t>nforcement</w:t>
      </w:r>
    </w:p>
    <w:p w:rsidR="00FA3539" w:rsidRPr="003869C1" w:rsidRDefault="00FA3539" w:rsidP="00FA3539">
      <w:pPr>
        <w:pStyle w:val="T5TextBody"/>
        <w:spacing w:line="276" w:lineRule="auto"/>
        <w:rPr>
          <w:szCs w:val="22"/>
          <w:lang w:val="en-US" w:eastAsia="en-GB"/>
        </w:rPr>
      </w:pPr>
      <w:r w:rsidRPr="003869C1">
        <w:rPr>
          <w:szCs w:val="22"/>
          <w:lang w:val="en-US" w:eastAsia="en-GB"/>
        </w:rPr>
        <w:t xml:space="preserve">The TUC’s view continues to be that </w:t>
      </w:r>
      <w:r w:rsidR="00813E75" w:rsidRPr="003869C1">
        <w:rPr>
          <w:szCs w:val="22"/>
          <w:lang w:val="en-US" w:eastAsia="en-GB"/>
        </w:rPr>
        <w:t>awareness</w:t>
      </w:r>
      <w:r w:rsidRPr="003869C1">
        <w:rPr>
          <w:szCs w:val="22"/>
          <w:lang w:val="en-US" w:eastAsia="en-GB"/>
        </w:rPr>
        <w:t xml:space="preserve"> of the NMW and how it can be enforced has fallen, despite our own </w:t>
      </w:r>
      <w:r w:rsidR="00813E75" w:rsidRPr="003869C1">
        <w:rPr>
          <w:szCs w:val="22"/>
          <w:lang w:val="en-US" w:eastAsia="en-GB"/>
        </w:rPr>
        <w:t>efforts</w:t>
      </w:r>
      <w:r w:rsidRPr="003869C1">
        <w:rPr>
          <w:szCs w:val="22"/>
          <w:lang w:val="en-US" w:eastAsia="en-GB"/>
        </w:rPr>
        <w:t xml:space="preserve"> to </w:t>
      </w:r>
      <w:r w:rsidR="00813E75" w:rsidRPr="003869C1">
        <w:rPr>
          <w:szCs w:val="22"/>
          <w:lang w:val="en-US" w:eastAsia="en-GB"/>
        </w:rPr>
        <w:t>disseminate</w:t>
      </w:r>
      <w:r w:rsidRPr="003869C1">
        <w:rPr>
          <w:szCs w:val="22"/>
          <w:lang w:val="en-US" w:eastAsia="en-GB"/>
        </w:rPr>
        <w:t xml:space="preserve"> this information.</w:t>
      </w:r>
    </w:p>
    <w:p w:rsidR="00FA3539" w:rsidRPr="003869C1" w:rsidRDefault="00FA3539" w:rsidP="00FA3539">
      <w:pPr>
        <w:pStyle w:val="T5TextBody"/>
        <w:spacing w:line="276" w:lineRule="auto"/>
        <w:rPr>
          <w:szCs w:val="22"/>
          <w:lang w:val="en-US" w:eastAsia="en-GB"/>
        </w:rPr>
      </w:pPr>
      <w:r w:rsidRPr="003869C1">
        <w:rPr>
          <w:szCs w:val="22"/>
          <w:lang w:val="en-US" w:eastAsia="en-GB"/>
        </w:rPr>
        <w:t xml:space="preserve">The government budget for </w:t>
      </w:r>
      <w:r w:rsidR="00813E75" w:rsidRPr="003869C1">
        <w:rPr>
          <w:szCs w:val="22"/>
          <w:lang w:val="en-US" w:eastAsia="en-GB"/>
        </w:rPr>
        <w:t>advertising</w:t>
      </w:r>
      <w:r w:rsidRPr="003869C1">
        <w:rPr>
          <w:szCs w:val="22"/>
          <w:lang w:val="en-US" w:eastAsia="en-GB"/>
        </w:rPr>
        <w:t xml:space="preserve"> and </w:t>
      </w:r>
      <w:r w:rsidR="00813E75" w:rsidRPr="003869C1">
        <w:rPr>
          <w:szCs w:val="22"/>
          <w:lang w:val="en-US" w:eastAsia="en-GB"/>
        </w:rPr>
        <w:t>disseminating</w:t>
      </w:r>
      <w:r w:rsidRPr="003869C1">
        <w:rPr>
          <w:szCs w:val="22"/>
          <w:lang w:val="en-US" w:eastAsia="en-GB"/>
        </w:rPr>
        <w:t xml:space="preserve"> information was cut from around £1 million a year to zero after the 2010 election. More recently, some funding has been made available for this important work, but only at around 1/10</w:t>
      </w:r>
      <w:r w:rsidRPr="003869C1">
        <w:rPr>
          <w:szCs w:val="22"/>
          <w:vertAlign w:val="superscript"/>
          <w:lang w:val="en-US" w:eastAsia="en-GB"/>
        </w:rPr>
        <w:t>th</w:t>
      </w:r>
      <w:r w:rsidRPr="003869C1">
        <w:rPr>
          <w:szCs w:val="22"/>
          <w:lang w:val="en-US" w:eastAsia="en-GB"/>
        </w:rPr>
        <w:t xml:space="preserve"> of the previous level. </w:t>
      </w:r>
      <w:r w:rsidR="008A7B99" w:rsidRPr="003869C1">
        <w:rPr>
          <w:szCs w:val="22"/>
          <w:lang w:val="en-US" w:eastAsia="en-GB"/>
        </w:rPr>
        <w:t>I</w:t>
      </w:r>
      <w:r w:rsidRPr="003869C1">
        <w:rPr>
          <w:szCs w:val="22"/>
          <w:lang w:val="en-US" w:eastAsia="en-GB"/>
        </w:rPr>
        <w:t xml:space="preserve">n the past year BIS and HMRC have </w:t>
      </w:r>
      <w:r w:rsidR="00813E75" w:rsidRPr="003869C1">
        <w:rPr>
          <w:szCs w:val="22"/>
          <w:lang w:val="en-US" w:eastAsia="en-GB"/>
        </w:rPr>
        <w:t>given</w:t>
      </w:r>
      <w:r w:rsidRPr="003869C1">
        <w:rPr>
          <w:szCs w:val="22"/>
          <w:lang w:val="en-US" w:eastAsia="en-GB"/>
        </w:rPr>
        <w:t xml:space="preserve"> more attention to generating media stories </w:t>
      </w:r>
      <w:r w:rsidR="00813E75" w:rsidRPr="003869C1">
        <w:rPr>
          <w:szCs w:val="22"/>
          <w:lang w:val="en-US" w:eastAsia="en-GB"/>
        </w:rPr>
        <w:t>around</w:t>
      </w:r>
      <w:r w:rsidRPr="003869C1">
        <w:rPr>
          <w:szCs w:val="22"/>
          <w:lang w:val="en-US" w:eastAsia="en-GB"/>
        </w:rPr>
        <w:t xml:space="preserve"> the </w:t>
      </w:r>
      <w:r w:rsidR="00813E75" w:rsidRPr="003869C1">
        <w:rPr>
          <w:szCs w:val="22"/>
          <w:lang w:val="en-US" w:eastAsia="en-GB"/>
        </w:rPr>
        <w:t>minimum</w:t>
      </w:r>
      <w:r w:rsidRPr="003869C1">
        <w:rPr>
          <w:szCs w:val="22"/>
          <w:lang w:val="en-US" w:eastAsia="en-GB"/>
        </w:rPr>
        <w:t xml:space="preserve"> wage, which gives a further platform for </w:t>
      </w:r>
      <w:r w:rsidR="00813E75" w:rsidRPr="003869C1">
        <w:rPr>
          <w:szCs w:val="22"/>
          <w:lang w:val="en-US" w:eastAsia="en-GB"/>
        </w:rPr>
        <w:t>dissemination</w:t>
      </w:r>
      <w:r w:rsidRPr="003869C1">
        <w:rPr>
          <w:szCs w:val="22"/>
          <w:lang w:val="en-US" w:eastAsia="en-GB"/>
        </w:rPr>
        <w:t xml:space="preserve">, but this </w:t>
      </w:r>
      <w:r w:rsidR="00813E75" w:rsidRPr="003869C1">
        <w:rPr>
          <w:szCs w:val="22"/>
          <w:lang w:val="en-US" w:eastAsia="en-GB"/>
        </w:rPr>
        <w:t>laudable</w:t>
      </w:r>
      <w:r w:rsidRPr="003869C1">
        <w:rPr>
          <w:szCs w:val="22"/>
          <w:lang w:val="en-US" w:eastAsia="en-GB"/>
        </w:rPr>
        <w:t xml:space="preserve"> effort is not enough to plug the gap. </w:t>
      </w:r>
      <w:r w:rsidR="00C2732B" w:rsidRPr="003869C1">
        <w:rPr>
          <w:szCs w:val="22"/>
          <w:lang w:val="en-US" w:eastAsia="en-GB"/>
        </w:rPr>
        <w:t>Naming many more cases of non-compliance would also help, but clearly m</w:t>
      </w:r>
      <w:r w:rsidRPr="003869C1">
        <w:rPr>
          <w:szCs w:val="22"/>
          <w:lang w:val="en-US" w:eastAsia="en-GB"/>
        </w:rPr>
        <w:t xml:space="preserve">ore funding is </w:t>
      </w:r>
      <w:r w:rsidR="00C2732B" w:rsidRPr="003869C1">
        <w:rPr>
          <w:szCs w:val="22"/>
          <w:lang w:val="en-US" w:eastAsia="en-GB"/>
        </w:rPr>
        <w:t xml:space="preserve">still urgently </w:t>
      </w:r>
      <w:r w:rsidRPr="003869C1">
        <w:rPr>
          <w:szCs w:val="22"/>
          <w:lang w:val="en-US" w:eastAsia="en-GB"/>
        </w:rPr>
        <w:t>needed fo</w:t>
      </w:r>
      <w:r w:rsidR="00C2732B" w:rsidRPr="003869C1">
        <w:rPr>
          <w:szCs w:val="22"/>
          <w:lang w:val="en-US" w:eastAsia="en-GB"/>
        </w:rPr>
        <w:t>r</w:t>
      </w:r>
      <w:r w:rsidRPr="003869C1">
        <w:rPr>
          <w:szCs w:val="22"/>
          <w:lang w:val="en-US" w:eastAsia="en-GB"/>
        </w:rPr>
        <w:t xml:space="preserve"> </w:t>
      </w:r>
      <w:r w:rsidR="00813E75" w:rsidRPr="003869C1">
        <w:rPr>
          <w:szCs w:val="22"/>
          <w:lang w:val="en-US" w:eastAsia="en-GB"/>
        </w:rPr>
        <w:t>dissemination</w:t>
      </w:r>
      <w:r w:rsidR="00C2732B" w:rsidRPr="003869C1">
        <w:rPr>
          <w:szCs w:val="22"/>
          <w:lang w:val="en-US" w:eastAsia="en-GB"/>
        </w:rPr>
        <w:t xml:space="preserve">, as is better </w:t>
      </w:r>
      <w:r w:rsidR="00813E75" w:rsidRPr="003869C1">
        <w:rPr>
          <w:szCs w:val="22"/>
          <w:lang w:val="en-US" w:eastAsia="en-GB"/>
        </w:rPr>
        <w:t>tracking</w:t>
      </w:r>
      <w:r w:rsidR="00C2732B" w:rsidRPr="003869C1">
        <w:rPr>
          <w:szCs w:val="22"/>
          <w:lang w:val="en-US" w:eastAsia="en-GB"/>
        </w:rPr>
        <w:t xml:space="preserve"> </w:t>
      </w:r>
      <w:r w:rsidR="008A7B99" w:rsidRPr="003869C1">
        <w:rPr>
          <w:szCs w:val="22"/>
          <w:lang w:val="en-US" w:eastAsia="en-GB"/>
        </w:rPr>
        <w:t xml:space="preserve">of </w:t>
      </w:r>
      <w:r w:rsidR="00C2732B" w:rsidRPr="003869C1">
        <w:rPr>
          <w:szCs w:val="22"/>
          <w:lang w:val="en-US" w:eastAsia="en-GB"/>
        </w:rPr>
        <w:t>public awareness of the relevant details</w:t>
      </w:r>
      <w:r w:rsidRPr="003869C1">
        <w:rPr>
          <w:szCs w:val="22"/>
          <w:lang w:val="en-US" w:eastAsia="en-GB"/>
        </w:rPr>
        <w:t xml:space="preserve">. </w:t>
      </w:r>
    </w:p>
    <w:p w:rsidR="001200AB" w:rsidRPr="003869C1" w:rsidRDefault="0027794F" w:rsidP="001200AB">
      <w:pPr>
        <w:pStyle w:val="T5TextBody"/>
        <w:spacing w:line="276" w:lineRule="auto"/>
        <w:rPr>
          <w:szCs w:val="22"/>
          <w:lang w:val="en-US" w:eastAsia="en-GB"/>
        </w:rPr>
      </w:pPr>
      <w:r w:rsidRPr="003869C1">
        <w:rPr>
          <w:szCs w:val="22"/>
          <w:lang w:val="en-US" w:eastAsia="en-GB"/>
        </w:rPr>
        <w:t xml:space="preserve">More positively, we cautiously welcome proposals for a unified set of national minimum wage regulations that will take account of all the amendments made over the years, as this </w:t>
      </w:r>
      <w:r w:rsidR="002E57D4">
        <w:rPr>
          <w:szCs w:val="22"/>
          <w:lang w:val="en-US" w:eastAsia="en-GB"/>
        </w:rPr>
        <w:t>should</w:t>
      </w:r>
      <w:r w:rsidRPr="003869C1">
        <w:rPr>
          <w:szCs w:val="22"/>
          <w:lang w:val="en-US" w:eastAsia="en-GB"/>
        </w:rPr>
        <w:t xml:space="preserve"> make the law easier to understand. </w:t>
      </w:r>
      <w:r w:rsidR="00813E75" w:rsidRPr="003869C1">
        <w:rPr>
          <w:szCs w:val="22"/>
          <w:lang w:val="en-US" w:eastAsia="en-GB"/>
        </w:rPr>
        <w:t xml:space="preserve">Nevertheless, we note that most workers and employers will go to the guidance rather than the regulations </w:t>
      </w:r>
      <w:r w:rsidR="00623487">
        <w:rPr>
          <w:szCs w:val="22"/>
          <w:lang w:val="en-US" w:eastAsia="en-GB"/>
        </w:rPr>
        <w:t>for information.</w:t>
      </w:r>
    </w:p>
    <w:p w:rsidR="001200AB" w:rsidRPr="003869C1" w:rsidRDefault="001200AB" w:rsidP="001200AB">
      <w:pPr>
        <w:pStyle w:val="T5TextBody"/>
        <w:spacing w:line="276" w:lineRule="auto"/>
        <w:rPr>
          <w:szCs w:val="22"/>
          <w:lang w:val="en-US" w:eastAsia="en-GB"/>
        </w:rPr>
      </w:pPr>
      <w:r w:rsidRPr="003869C1">
        <w:rPr>
          <w:szCs w:val="22"/>
          <w:lang w:val="en-US" w:eastAsia="en-GB"/>
        </w:rPr>
        <w:t xml:space="preserve">The </w:t>
      </w:r>
      <w:r w:rsidR="008A7B99" w:rsidRPr="003869C1">
        <w:rPr>
          <w:szCs w:val="22"/>
          <w:lang w:val="en-US" w:eastAsia="en-GB"/>
        </w:rPr>
        <w:t xml:space="preserve">Gov.UK </w:t>
      </w:r>
      <w:r w:rsidRPr="003869C1">
        <w:rPr>
          <w:szCs w:val="22"/>
          <w:lang w:val="en-US" w:eastAsia="en-GB"/>
        </w:rPr>
        <w:t xml:space="preserve">guidance on the national </w:t>
      </w:r>
      <w:r w:rsidR="00813E75" w:rsidRPr="003869C1">
        <w:rPr>
          <w:szCs w:val="22"/>
          <w:lang w:val="en-US" w:eastAsia="en-GB"/>
        </w:rPr>
        <w:t>minimum</w:t>
      </w:r>
      <w:r w:rsidRPr="003869C1">
        <w:rPr>
          <w:szCs w:val="22"/>
          <w:lang w:val="en-US" w:eastAsia="en-GB"/>
        </w:rPr>
        <w:t xml:space="preserve"> wage has been </w:t>
      </w:r>
      <w:r w:rsidR="00813E75" w:rsidRPr="003869C1">
        <w:rPr>
          <w:szCs w:val="22"/>
          <w:lang w:val="en-US" w:eastAsia="en-GB"/>
        </w:rPr>
        <w:t>somewhat</w:t>
      </w:r>
      <w:r w:rsidRPr="003869C1">
        <w:rPr>
          <w:szCs w:val="22"/>
          <w:lang w:val="en-US" w:eastAsia="en-GB"/>
        </w:rPr>
        <w:t xml:space="preserve"> improved by adding links to some of the older text. </w:t>
      </w:r>
      <w:r w:rsidR="00813E75" w:rsidRPr="003869C1">
        <w:rPr>
          <w:szCs w:val="22"/>
          <w:lang w:val="en-US" w:eastAsia="en-GB"/>
        </w:rPr>
        <w:t>Nevertheless</w:t>
      </w:r>
      <w:r w:rsidRPr="003869C1">
        <w:rPr>
          <w:szCs w:val="22"/>
          <w:lang w:val="en-US" w:eastAsia="en-GB"/>
        </w:rPr>
        <w:t xml:space="preserve">, it still falls short in </w:t>
      </w:r>
      <w:r w:rsidR="00813E75" w:rsidRPr="003869C1">
        <w:rPr>
          <w:szCs w:val="22"/>
          <w:lang w:val="en-US" w:eastAsia="en-GB"/>
        </w:rPr>
        <w:t>terms</w:t>
      </w:r>
      <w:r w:rsidRPr="003869C1">
        <w:rPr>
          <w:szCs w:val="22"/>
          <w:lang w:val="en-US" w:eastAsia="en-GB"/>
        </w:rPr>
        <w:t xml:space="preserve"> of both completeness and </w:t>
      </w:r>
      <w:r w:rsidR="00813E75" w:rsidRPr="003869C1">
        <w:rPr>
          <w:szCs w:val="22"/>
          <w:lang w:val="en-US" w:eastAsia="en-GB"/>
        </w:rPr>
        <w:t>accuracy</w:t>
      </w:r>
      <w:r w:rsidRPr="003869C1">
        <w:rPr>
          <w:szCs w:val="22"/>
          <w:lang w:val="en-US" w:eastAsia="en-GB"/>
        </w:rPr>
        <w:t xml:space="preserve">. It is vital that the government </w:t>
      </w:r>
      <w:r w:rsidR="00813E75" w:rsidRPr="003869C1">
        <w:rPr>
          <w:szCs w:val="22"/>
          <w:lang w:val="en-US" w:eastAsia="en-GB"/>
        </w:rPr>
        <w:t>gives</w:t>
      </w:r>
      <w:r w:rsidRPr="003869C1">
        <w:rPr>
          <w:szCs w:val="22"/>
          <w:lang w:val="en-US" w:eastAsia="en-GB"/>
        </w:rPr>
        <w:t xml:space="preserve"> good guidance on this very important area of law. The text should be looked at again, in </w:t>
      </w:r>
      <w:r w:rsidR="00813E75" w:rsidRPr="003869C1">
        <w:rPr>
          <w:szCs w:val="22"/>
          <w:lang w:val="en-US" w:eastAsia="en-GB"/>
        </w:rPr>
        <w:t>consultation</w:t>
      </w:r>
      <w:r w:rsidRPr="003869C1">
        <w:rPr>
          <w:szCs w:val="22"/>
          <w:lang w:val="en-US" w:eastAsia="en-GB"/>
        </w:rPr>
        <w:t xml:space="preserve"> with </w:t>
      </w:r>
      <w:r w:rsidR="00813E75" w:rsidRPr="003869C1">
        <w:rPr>
          <w:szCs w:val="22"/>
          <w:lang w:val="en-US" w:eastAsia="en-GB"/>
        </w:rPr>
        <w:t>stakeholders</w:t>
      </w:r>
      <w:r w:rsidRPr="003869C1">
        <w:rPr>
          <w:szCs w:val="22"/>
          <w:lang w:val="en-US" w:eastAsia="en-GB"/>
        </w:rPr>
        <w:t>.</w:t>
      </w:r>
    </w:p>
    <w:p w:rsidR="00C2732B" w:rsidRPr="003869C1" w:rsidRDefault="00813E75" w:rsidP="00FA3539">
      <w:pPr>
        <w:pStyle w:val="T5TextBody"/>
        <w:spacing w:line="276" w:lineRule="auto"/>
        <w:rPr>
          <w:szCs w:val="22"/>
          <w:lang w:val="en-US" w:eastAsia="en-GB"/>
        </w:rPr>
      </w:pPr>
      <w:r w:rsidRPr="003869C1">
        <w:rPr>
          <w:szCs w:val="22"/>
          <w:lang w:val="en-US" w:eastAsia="en-GB"/>
        </w:rPr>
        <w:t>The TUC has welcomed the introduction of higher civil penalties earlier this year</w:t>
      </w:r>
      <w:r w:rsidRPr="003869C1">
        <w:rPr>
          <w:rStyle w:val="FootnoteReference"/>
          <w:sz w:val="22"/>
          <w:szCs w:val="22"/>
          <w:lang w:val="en-US" w:eastAsia="en-GB"/>
        </w:rPr>
        <w:footnoteReference w:id="48"/>
      </w:r>
      <w:r w:rsidRPr="003869C1">
        <w:rPr>
          <w:szCs w:val="22"/>
          <w:lang w:val="en-US" w:eastAsia="en-GB"/>
        </w:rPr>
        <w:t>, the removal of the early payment discount and plans to apply the current £20,000 per case maximum on an individual worker basis</w:t>
      </w:r>
      <w:r w:rsidRPr="003869C1">
        <w:rPr>
          <w:szCs w:val="22"/>
        </w:rPr>
        <w:t xml:space="preserve"> via the small business, enterprise and employment bill, announced in the Queen’s speech.</w:t>
      </w:r>
    </w:p>
    <w:p w:rsidR="00FA3539" w:rsidRPr="003869C1" w:rsidRDefault="005E276F" w:rsidP="00FA3539">
      <w:pPr>
        <w:pStyle w:val="T5TextBody"/>
        <w:spacing w:line="276" w:lineRule="auto"/>
        <w:rPr>
          <w:szCs w:val="22"/>
          <w:lang w:val="en-US" w:eastAsia="en-GB"/>
        </w:rPr>
      </w:pPr>
      <w:r w:rsidRPr="003869C1">
        <w:rPr>
          <w:szCs w:val="22"/>
          <w:lang w:val="en-US" w:eastAsia="en-GB"/>
        </w:rPr>
        <w:t xml:space="preserve">As these penalties match the amount owed to workers, they do nothing more for small cases, but removing the early payment discount does </w:t>
      </w:r>
      <w:r w:rsidR="00813E75" w:rsidRPr="003869C1">
        <w:rPr>
          <w:szCs w:val="22"/>
          <w:lang w:val="en-US" w:eastAsia="en-GB"/>
        </w:rPr>
        <w:t>mean</w:t>
      </w:r>
      <w:r w:rsidRPr="003869C1">
        <w:rPr>
          <w:szCs w:val="22"/>
          <w:lang w:val="en-US" w:eastAsia="en-GB"/>
        </w:rPr>
        <w:t xml:space="preserve"> that the </w:t>
      </w:r>
      <w:r w:rsidR="00813E75" w:rsidRPr="003869C1">
        <w:rPr>
          <w:szCs w:val="22"/>
          <w:lang w:val="en-US" w:eastAsia="en-GB"/>
        </w:rPr>
        <w:t>average</w:t>
      </w:r>
      <w:r w:rsidRPr="003869C1">
        <w:rPr>
          <w:szCs w:val="22"/>
          <w:lang w:val="en-US" w:eastAsia="en-GB"/>
        </w:rPr>
        <w:t xml:space="preserve"> employer will pay more, and in the </w:t>
      </w:r>
      <w:r w:rsidR="00813E75" w:rsidRPr="003869C1">
        <w:rPr>
          <w:szCs w:val="22"/>
          <w:lang w:val="en-US" w:eastAsia="en-GB"/>
        </w:rPr>
        <w:t>biggest</w:t>
      </w:r>
      <w:r w:rsidRPr="003869C1">
        <w:rPr>
          <w:szCs w:val="22"/>
          <w:lang w:val="en-US" w:eastAsia="en-GB"/>
        </w:rPr>
        <w:t xml:space="preserve"> </w:t>
      </w:r>
      <w:r w:rsidR="00813E75" w:rsidRPr="003869C1">
        <w:rPr>
          <w:szCs w:val="22"/>
          <w:lang w:val="en-US" w:eastAsia="en-GB"/>
        </w:rPr>
        <w:t>cases</w:t>
      </w:r>
      <w:r w:rsidRPr="003869C1">
        <w:rPr>
          <w:szCs w:val="22"/>
          <w:lang w:val="en-US" w:eastAsia="en-GB"/>
        </w:rPr>
        <w:t>, very much more.</w:t>
      </w:r>
    </w:p>
    <w:p w:rsidR="005E276F" w:rsidRPr="003869C1" w:rsidRDefault="00813E75" w:rsidP="00FA3539">
      <w:pPr>
        <w:pStyle w:val="T5TextBody"/>
        <w:spacing w:line="276" w:lineRule="auto"/>
        <w:rPr>
          <w:szCs w:val="22"/>
          <w:lang w:val="en-US" w:eastAsia="en-GB"/>
        </w:rPr>
      </w:pPr>
      <w:r w:rsidRPr="003869C1">
        <w:rPr>
          <w:szCs w:val="22"/>
          <w:lang w:val="en-US" w:eastAsia="en-GB"/>
        </w:rPr>
        <w:lastRenderedPageBreak/>
        <w:t>Nevertheless</w:t>
      </w:r>
      <w:r w:rsidR="005E276F" w:rsidRPr="003869C1">
        <w:rPr>
          <w:szCs w:val="22"/>
          <w:lang w:val="en-US" w:eastAsia="en-GB"/>
        </w:rPr>
        <w:t xml:space="preserve">, one of the problems with civil penalties is that the </w:t>
      </w:r>
      <w:r w:rsidR="008A7B99" w:rsidRPr="003869C1">
        <w:rPr>
          <w:szCs w:val="22"/>
          <w:lang w:val="en-US" w:eastAsia="en-GB"/>
        </w:rPr>
        <w:t>full details</w:t>
      </w:r>
      <w:r w:rsidR="005E276F" w:rsidRPr="003869C1">
        <w:rPr>
          <w:szCs w:val="22"/>
          <w:lang w:val="en-US" w:eastAsia="en-GB"/>
        </w:rPr>
        <w:t xml:space="preserve"> cannot be publicly reported. “Naming” merely takes the form of saying that </w:t>
      </w:r>
      <w:r w:rsidR="00C23B98" w:rsidRPr="003869C1">
        <w:rPr>
          <w:szCs w:val="22"/>
          <w:lang w:val="en-US" w:eastAsia="en-GB"/>
        </w:rPr>
        <w:t>X</w:t>
      </w:r>
      <w:r w:rsidR="005E276F" w:rsidRPr="003869C1">
        <w:rPr>
          <w:szCs w:val="22"/>
          <w:lang w:val="en-US" w:eastAsia="en-GB"/>
        </w:rPr>
        <w:t xml:space="preserve"> employer was found to have underpaid </w:t>
      </w:r>
      <w:r w:rsidR="00C23B98" w:rsidRPr="003869C1">
        <w:rPr>
          <w:szCs w:val="22"/>
          <w:lang w:val="en-US" w:eastAsia="en-GB"/>
        </w:rPr>
        <w:t>Y</w:t>
      </w:r>
      <w:r w:rsidR="005E276F" w:rsidRPr="003869C1">
        <w:rPr>
          <w:szCs w:val="22"/>
          <w:lang w:val="en-US" w:eastAsia="en-GB"/>
        </w:rPr>
        <w:t xml:space="preserve"> workers by £</w:t>
      </w:r>
      <w:r w:rsidR="00C23B98" w:rsidRPr="003869C1">
        <w:rPr>
          <w:szCs w:val="22"/>
          <w:lang w:val="en-US" w:eastAsia="en-GB"/>
        </w:rPr>
        <w:t>Z.</w:t>
      </w:r>
      <w:r w:rsidR="005E276F" w:rsidRPr="003869C1">
        <w:rPr>
          <w:i/>
          <w:szCs w:val="22"/>
          <w:lang w:val="en-US" w:eastAsia="en-GB"/>
        </w:rPr>
        <w:t xml:space="preserve"> </w:t>
      </w:r>
      <w:r w:rsidR="005E276F" w:rsidRPr="003869C1">
        <w:rPr>
          <w:szCs w:val="22"/>
          <w:lang w:val="en-US" w:eastAsia="en-GB"/>
        </w:rPr>
        <w:t xml:space="preserve">There are some cases, </w:t>
      </w:r>
      <w:r w:rsidRPr="003869C1">
        <w:rPr>
          <w:szCs w:val="22"/>
          <w:lang w:val="en-US" w:eastAsia="en-GB"/>
        </w:rPr>
        <w:t>particularly</w:t>
      </w:r>
      <w:r w:rsidR="005E276F" w:rsidRPr="003869C1">
        <w:rPr>
          <w:szCs w:val="22"/>
          <w:lang w:val="en-US" w:eastAsia="en-GB"/>
        </w:rPr>
        <w:t xml:space="preserve"> around what the TUC regards as the “aggravated” </w:t>
      </w:r>
      <w:r w:rsidRPr="003869C1">
        <w:rPr>
          <w:szCs w:val="22"/>
          <w:lang w:val="en-US" w:eastAsia="en-GB"/>
        </w:rPr>
        <w:t>offences</w:t>
      </w:r>
      <w:r w:rsidR="005E276F" w:rsidRPr="003869C1">
        <w:rPr>
          <w:szCs w:val="22"/>
          <w:lang w:val="en-US" w:eastAsia="en-GB"/>
        </w:rPr>
        <w:t xml:space="preserve"> under the NMW Act</w:t>
      </w:r>
      <w:r w:rsidRPr="003869C1">
        <w:rPr>
          <w:szCs w:val="22"/>
          <w:lang w:val="en-US" w:eastAsia="en-GB"/>
        </w:rPr>
        <w:t xml:space="preserve">, </w:t>
      </w:r>
      <w:r w:rsidR="00C23B98" w:rsidRPr="003869C1">
        <w:rPr>
          <w:szCs w:val="22"/>
          <w:lang w:val="en-US" w:eastAsia="en-GB"/>
        </w:rPr>
        <w:t>where</w:t>
      </w:r>
      <w:r w:rsidR="005E276F" w:rsidRPr="003869C1">
        <w:rPr>
          <w:szCs w:val="22"/>
          <w:lang w:val="en-US" w:eastAsia="en-GB"/>
        </w:rPr>
        <w:t xml:space="preserve"> it would be in the </w:t>
      </w:r>
      <w:r w:rsidRPr="003869C1">
        <w:rPr>
          <w:szCs w:val="22"/>
          <w:lang w:val="en-US" w:eastAsia="en-GB"/>
        </w:rPr>
        <w:t>public</w:t>
      </w:r>
      <w:r w:rsidR="005E276F" w:rsidRPr="003869C1">
        <w:rPr>
          <w:szCs w:val="22"/>
          <w:lang w:val="en-US" w:eastAsia="en-GB"/>
        </w:rPr>
        <w:t xml:space="preserve"> interest to allow more detail to be reported. This would certainly </w:t>
      </w:r>
      <w:r w:rsidRPr="003869C1">
        <w:rPr>
          <w:szCs w:val="22"/>
          <w:lang w:val="en-US" w:eastAsia="en-GB"/>
        </w:rPr>
        <w:t>create</w:t>
      </w:r>
      <w:r w:rsidR="005E276F" w:rsidRPr="003869C1">
        <w:rPr>
          <w:szCs w:val="22"/>
          <w:lang w:val="en-US" w:eastAsia="en-GB"/>
        </w:rPr>
        <w:t xml:space="preserve"> a more robust </w:t>
      </w:r>
      <w:r w:rsidRPr="003869C1">
        <w:rPr>
          <w:szCs w:val="22"/>
          <w:lang w:val="en-US" w:eastAsia="en-GB"/>
        </w:rPr>
        <w:t>deterrent</w:t>
      </w:r>
      <w:r w:rsidR="005E276F" w:rsidRPr="003869C1">
        <w:rPr>
          <w:szCs w:val="22"/>
          <w:lang w:val="en-US" w:eastAsia="en-GB"/>
        </w:rPr>
        <w:t xml:space="preserve">. It also </w:t>
      </w:r>
      <w:r w:rsidRPr="003869C1">
        <w:rPr>
          <w:szCs w:val="22"/>
          <w:lang w:val="en-US" w:eastAsia="en-GB"/>
        </w:rPr>
        <w:t>seems</w:t>
      </w:r>
      <w:r w:rsidR="005E276F" w:rsidRPr="003869C1">
        <w:rPr>
          <w:szCs w:val="22"/>
          <w:lang w:val="en-US" w:eastAsia="en-GB"/>
        </w:rPr>
        <w:t xml:space="preserve"> to us to </w:t>
      </w:r>
      <w:r w:rsidRPr="003869C1">
        <w:rPr>
          <w:szCs w:val="22"/>
          <w:lang w:val="en-US" w:eastAsia="en-GB"/>
        </w:rPr>
        <w:t>be a</w:t>
      </w:r>
      <w:r w:rsidR="005E276F" w:rsidRPr="003869C1">
        <w:rPr>
          <w:szCs w:val="22"/>
          <w:lang w:val="en-US" w:eastAsia="en-GB"/>
        </w:rPr>
        <w:t xml:space="preserve"> good principle of </w:t>
      </w:r>
      <w:r w:rsidRPr="003869C1">
        <w:rPr>
          <w:szCs w:val="22"/>
          <w:lang w:val="en-US" w:eastAsia="en-GB"/>
        </w:rPr>
        <w:t>justice</w:t>
      </w:r>
      <w:r w:rsidR="005E276F" w:rsidRPr="003869C1">
        <w:rPr>
          <w:szCs w:val="22"/>
          <w:lang w:val="en-US" w:eastAsia="en-GB"/>
        </w:rPr>
        <w:t xml:space="preserve"> that more serious cases should be dealt with by the courts.</w:t>
      </w:r>
    </w:p>
    <w:p w:rsidR="00103160" w:rsidRPr="003869C1" w:rsidRDefault="005E276F" w:rsidP="00FA3539">
      <w:pPr>
        <w:pStyle w:val="T5TextBody"/>
        <w:spacing w:line="276" w:lineRule="auto"/>
        <w:rPr>
          <w:szCs w:val="22"/>
          <w:lang w:val="en-US" w:eastAsia="en-GB"/>
        </w:rPr>
      </w:pPr>
      <w:r w:rsidRPr="003869C1">
        <w:rPr>
          <w:szCs w:val="22"/>
          <w:lang w:val="en-US" w:eastAsia="en-GB"/>
        </w:rPr>
        <w:t xml:space="preserve">The TUC therefore proposes that the government should adopt a new prosecution standard, </w:t>
      </w:r>
      <w:r w:rsidR="00813E75" w:rsidRPr="003869C1">
        <w:rPr>
          <w:szCs w:val="22"/>
          <w:lang w:val="en-US" w:eastAsia="en-GB"/>
        </w:rPr>
        <w:t>committing</w:t>
      </w:r>
      <w:r w:rsidRPr="003869C1">
        <w:rPr>
          <w:szCs w:val="22"/>
          <w:lang w:val="en-US" w:eastAsia="en-GB"/>
        </w:rPr>
        <w:t xml:space="preserve"> to </w:t>
      </w:r>
      <w:r w:rsidR="00813E75" w:rsidRPr="003869C1">
        <w:rPr>
          <w:szCs w:val="22"/>
          <w:lang w:val="en-US" w:eastAsia="en-GB"/>
        </w:rPr>
        <w:t>prosecute</w:t>
      </w:r>
      <w:r w:rsidRPr="003869C1">
        <w:rPr>
          <w:szCs w:val="22"/>
          <w:lang w:val="en-US" w:eastAsia="en-GB"/>
        </w:rPr>
        <w:t xml:space="preserve"> at least </w:t>
      </w:r>
      <w:r w:rsidR="00813E75" w:rsidRPr="003869C1">
        <w:rPr>
          <w:szCs w:val="22"/>
          <w:lang w:val="en-US" w:eastAsia="en-GB"/>
        </w:rPr>
        <w:t>a limited</w:t>
      </w:r>
      <w:r w:rsidRPr="003869C1">
        <w:rPr>
          <w:szCs w:val="22"/>
          <w:lang w:val="en-US" w:eastAsia="en-GB"/>
        </w:rPr>
        <w:t xml:space="preserve"> number of aggravated cases. </w:t>
      </w:r>
      <w:r w:rsidR="00813E75" w:rsidRPr="003869C1">
        <w:rPr>
          <w:szCs w:val="22"/>
          <w:lang w:val="en-US" w:eastAsia="en-GB"/>
        </w:rPr>
        <w:t>Those</w:t>
      </w:r>
      <w:r w:rsidRPr="003869C1">
        <w:rPr>
          <w:szCs w:val="22"/>
          <w:lang w:val="en-US" w:eastAsia="en-GB"/>
        </w:rPr>
        <w:t xml:space="preserve"> suitable for prosecution should include repeat offenders</w:t>
      </w:r>
      <w:r w:rsidR="00103160" w:rsidRPr="003869C1">
        <w:rPr>
          <w:szCs w:val="22"/>
          <w:lang w:val="en-US" w:eastAsia="en-GB"/>
        </w:rPr>
        <w:t xml:space="preserve">, those who </w:t>
      </w:r>
      <w:r w:rsidR="00813E75" w:rsidRPr="003869C1">
        <w:rPr>
          <w:szCs w:val="22"/>
          <w:lang w:val="en-US" w:eastAsia="en-GB"/>
        </w:rPr>
        <w:t>deliberately</w:t>
      </w:r>
      <w:r w:rsidR="00103160" w:rsidRPr="003869C1">
        <w:rPr>
          <w:szCs w:val="22"/>
          <w:lang w:val="en-US" w:eastAsia="en-GB"/>
        </w:rPr>
        <w:t xml:space="preserve"> keep </w:t>
      </w:r>
      <w:r w:rsidR="00813E75" w:rsidRPr="003869C1">
        <w:rPr>
          <w:szCs w:val="22"/>
          <w:lang w:val="en-US" w:eastAsia="en-GB"/>
        </w:rPr>
        <w:t>fraudulent</w:t>
      </w:r>
      <w:r w:rsidR="00103160" w:rsidRPr="003869C1">
        <w:rPr>
          <w:szCs w:val="22"/>
          <w:lang w:val="en-US" w:eastAsia="en-GB"/>
        </w:rPr>
        <w:t xml:space="preserve"> records </w:t>
      </w:r>
      <w:r w:rsidR="00813E75" w:rsidRPr="003869C1">
        <w:rPr>
          <w:szCs w:val="22"/>
          <w:lang w:val="en-US" w:eastAsia="en-GB"/>
        </w:rPr>
        <w:t>and those</w:t>
      </w:r>
      <w:r w:rsidR="00103160" w:rsidRPr="003869C1">
        <w:rPr>
          <w:szCs w:val="22"/>
          <w:lang w:val="en-US" w:eastAsia="en-GB"/>
        </w:rPr>
        <w:t xml:space="preserve"> who obstruct HMRC’s investigations.</w:t>
      </w:r>
    </w:p>
    <w:p w:rsidR="008A7B99" w:rsidRPr="003869C1" w:rsidRDefault="00103160" w:rsidP="008A7B99">
      <w:pPr>
        <w:pStyle w:val="T5TextBody"/>
        <w:spacing w:line="276" w:lineRule="auto"/>
        <w:rPr>
          <w:szCs w:val="22"/>
          <w:lang w:val="en-US" w:eastAsia="en-GB"/>
        </w:rPr>
      </w:pPr>
      <w:r w:rsidRPr="003869C1">
        <w:rPr>
          <w:szCs w:val="22"/>
          <w:lang w:val="en-US" w:eastAsia="en-GB"/>
        </w:rPr>
        <w:t xml:space="preserve">In order to make this </w:t>
      </w:r>
      <w:r w:rsidR="00813E75" w:rsidRPr="003869C1">
        <w:rPr>
          <w:szCs w:val="22"/>
          <w:lang w:val="en-US" w:eastAsia="en-GB"/>
        </w:rPr>
        <w:t>exercise</w:t>
      </w:r>
      <w:r w:rsidRPr="003869C1">
        <w:rPr>
          <w:szCs w:val="22"/>
          <w:lang w:val="en-US" w:eastAsia="en-GB"/>
        </w:rPr>
        <w:t xml:space="preserve"> worthwhile, the government also needs to </w:t>
      </w:r>
      <w:r w:rsidR="00813E75" w:rsidRPr="003869C1">
        <w:rPr>
          <w:szCs w:val="22"/>
          <w:lang w:val="en-US" w:eastAsia="en-GB"/>
        </w:rPr>
        <w:t>raise</w:t>
      </w:r>
      <w:r w:rsidRPr="003869C1">
        <w:rPr>
          <w:szCs w:val="22"/>
          <w:lang w:val="en-US" w:eastAsia="en-GB"/>
        </w:rPr>
        <w:t xml:space="preserve"> the maximum penalties </w:t>
      </w:r>
      <w:r w:rsidR="00813E75" w:rsidRPr="003869C1">
        <w:rPr>
          <w:szCs w:val="22"/>
          <w:lang w:val="en-US" w:eastAsia="en-GB"/>
        </w:rPr>
        <w:t>available</w:t>
      </w:r>
      <w:r w:rsidRPr="003869C1">
        <w:rPr>
          <w:szCs w:val="22"/>
          <w:lang w:val="en-US" w:eastAsia="en-GB"/>
        </w:rPr>
        <w:t xml:space="preserve"> to the courts on </w:t>
      </w:r>
      <w:r w:rsidR="00813E75" w:rsidRPr="003869C1">
        <w:rPr>
          <w:szCs w:val="22"/>
          <w:lang w:val="en-US" w:eastAsia="en-GB"/>
        </w:rPr>
        <w:t>summary</w:t>
      </w:r>
      <w:r w:rsidRPr="003869C1">
        <w:rPr>
          <w:szCs w:val="22"/>
          <w:lang w:val="en-US" w:eastAsia="en-GB"/>
        </w:rPr>
        <w:t xml:space="preserve"> and indictment, including the possibility of imposing </w:t>
      </w:r>
      <w:r w:rsidR="00813E75" w:rsidRPr="003869C1">
        <w:rPr>
          <w:szCs w:val="22"/>
          <w:lang w:val="en-US" w:eastAsia="en-GB"/>
        </w:rPr>
        <w:t>custodial</w:t>
      </w:r>
      <w:r w:rsidRPr="003869C1">
        <w:rPr>
          <w:szCs w:val="22"/>
          <w:lang w:val="en-US" w:eastAsia="en-GB"/>
        </w:rPr>
        <w:t xml:space="preserve"> </w:t>
      </w:r>
      <w:r w:rsidR="00813E75" w:rsidRPr="003869C1">
        <w:rPr>
          <w:szCs w:val="22"/>
          <w:lang w:val="en-US" w:eastAsia="en-GB"/>
        </w:rPr>
        <w:t>sentences</w:t>
      </w:r>
      <w:r w:rsidRPr="003869C1">
        <w:rPr>
          <w:szCs w:val="22"/>
          <w:lang w:val="en-US" w:eastAsia="en-GB"/>
        </w:rPr>
        <w:t>, so that the law can deal effectively with the worst cases</w:t>
      </w:r>
      <w:r w:rsidRPr="003869C1">
        <w:rPr>
          <w:rStyle w:val="FootnoteReference"/>
          <w:sz w:val="22"/>
          <w:szCs w:val="22"/>
          <w:lang w:val="en-US" w:eastAsia="en-GB"/>
        </w:rPr>
        <w:footnoteReference w:id="49"/>
      </w:r>
      <w:r w:rsidRPr="003869C1">
        <w:rPr>
          <w:szCs w:val="22"/>
          <w:lang w:val="en-US" w:eastAsia="en-GB"/>
        </w:rPr>
        <w:t xml:space="preserve">. </w:t>
      </w:r>
      <w:r w:rsidR="008A7B99" w:rsidRPr="003869C1">
        <w:rPr>
          <w:szCs w:val="22"/>
          <w:lang w:val="en-US" w:eastAsia="en-GB"/>
        </w:rPr>
        <w:t xml:space="preserve">Given that the government plans to amend the National Minimum Wage Act in order to increase the maximum civil penalty, it should also take this opportunity to increase the maximum fines. Furthermore, there would strong merit in amending the act to create proper legal gateways to allow HMRC to exchange case information with local authorities and Maritime and </w:t>
      </w:r>
      <w:r w:rsidR="008C6977" w:rsidRPr="003869C1">
        <w:rPr>
          <w:szCs w:val="22"/>
          <w:lang w:val="en-US" w:eastAsia="en-GB"/>
        </w:rPr>
        <w:t>C</w:t>
      </w:r>
      <w:r w:rsidR="008A7B99" w:rsidRPr="003869C1">
        <w:rPr>
          <w:szCs w:val="22"/>
          <w:lang w:val="en-US" w:eastAsia="en-GB"/>
        </w:rPr>
        <w:t xml:space="preserve">oastguard </w:t>
      </w:r>
      <w:r w:rsidR="00FC4D13">
        <w:rPr>
          <w:szCs w:val="22"/>
          <w:lang w:val="en-US" w:eastAsia="en-GB"/>
        </w:rPr>
        <w:t>A</w:t>
      </w:r>
      <w:r w:rsidR="008A7B99" w:rsidRPr="003869C1">
        <w:rPr>
          <w:szCs w:val="22"/>
          <w:lang w:val="en-US" w:eastAsia="en-GB"/>
        </w:rPr>
        <w:t>gency, in order to uphold the law</w:t>
      </w:r>
      <w:r w:rsidR="005A2B6B">
        <w:rPr>
          <w:szCs w:val="22"/>
          <w:lang w:val="en-US" w:eastAsia="en-GB"/>
        </w:rPr>
        <w:t>.</w:t>
      </w:r>
    </w:p>
    <w:p w:rsidR="00BC4003" w:rsidRPr="003869C1" w:rsidRDefault="00BC4003" w:rsidP="00FA3539">
      <w:pPr>
        <w:pStyle w:val="T5TextBody"/>
        <w:spacing w:line="276" w:lineRule="auto"/>
        <w:rPr>
          <w:szCs w:val="22"/>
          <w:lang w:val="en-US" w:eastAsia="en-GB"/>
        </w:rPr>
      </w:pPr>
      <w:r w:rsidRPr="003869C1">
        <w:rPr>
          <w:szCs w:val="22"/>
          <w:lang w:val="en-US" w:eastAsia="en-GB"/>
        </w:rPr>
        <w:t xml:space="preserve">Turning next to naming and shaming </w:t>
      </w:r>
      <w:r w:rsidR="00813E75" w:rsidRPr="003869C1">
        <w:rPr>
          <w:szCs w:val="22"/>
          <w:lang w:val="en-US" w:eastAsia="en-GB"/>
        </w:rPr>
        <w:t>employers</w:t>
      </w:r>
      <w:r w:rsidRPr="003869C1">
        <w:rPr>
          <w:szCs w:val="22"/>
          <w:lang w:val="en-US" w:eastAsia="en-GB"/>
        </w:rPr>
        <w:t xml:space="preserve"> caught cheating, as of July </w:t>
      </w:r>
      <w:r w:rsidR="00813E75" w:rsidRPr="003869C1">
        <w:rPr>
          <w:szCs w:val="22"/>
          <w:lang w:val="en-US" w:eastAsia="en-GB"/>
        </w:rPr>
        <w:t>2014</w:t>
      </w:r>
      <w:r w:rsidRPr="003869C1">
        <w:rPr>
          <w:szCs w:val="22"/>
          <w:lang w:val="en-US" w:eastAsia="en-GB"/>
        </w:rPr>
        <w:t>the government has named three dozen employers</w:t>
      </w:r>
      <w:r w:rsidR="007D27FE" w:rsidRPr="003869C1">
        <w:rPr>
          <w:szCs w:val="22"/>
          <w:lang w:val="en-US" w:eastAsia="en-GB"/>
        </w:rPr>
        <w:t xml:space="preserve">. This is a modest start, but we would expect to see the </w:t>
      </w:r>
      <w:r w:rsidR="00813E75" w:rsidRPr="003869C1">
        <w:rPr>
          <w:szCs w:val="22"/>
          <w:lang w:val="en-US" w:eastAsia="en-GB"/>
        </w:rPr>
        <w:t>overwhelming</w:t>
      </w:r>
      <w:r w:rsidR="007D27FE" w:rsidRPr="003869C1">
        <w:rPr>
          <w:szCs w:val="22"/>
          <w:lang w:val="en-US" w:eastAsia="en-GB"/>
        </w:rPr>
        <w:t xml:space="preserve"> majority of those caught being named. The government </w:t>
      </w:r>
      <w:r w:rsidR="00813E75" w:rsidRPr="003869C1">
        <w:rPr>
          <w:szCs w:val="22"/>
          <w:lang w:val="en-US" w:eastAsia="en-GB"/>
        </w:rPr>
        <w:t>reports</w:t>
      </w:r>
      <w:r w:rsidR="007D27FE" w:rsidRPr="003869C1">
        <w:rPr>
          <w:szCs w:val="22"/>
          <w:lang w:val="en-US" w:eastAsia="en-GB"/>
        </w:rPr>
        <w:t xml:space="preserve"> that in 2012/13 there were 708 cases where civil </w:t>
      </w:r>
      <w:r w:rsidR="00813E75" w:rsidRPr="003869C1">
        <w:rPr>
          <w:szCs w:val="22"/>
          <w:lang w:val="en-US" w:eastAsia="en-GB"/>
        </w:rPr>
        <w:t>penalties</w:t>
      </w:r>
      <w:r w:rsidR="007D27FE" w:rsidRPr="003869C1">
        <w:rPr>
          <w:szCs w:val="22"/>
          <w:lang w:val="en-US" w:eastAsia="en-GB"/>
        </w:rPr>
        <w:t xml:space="preserve"> were imposed</w:t>
      </w:r>
      <w:r w:rsidR="005664D9" w:rsidRPr="003869C1">
        <w:rPr>
          <w:rStyle w:val="FootnoteReference"/>
          <w:sz w:val="22"/>
          <w:szCs w:val="22"/>
          <w:lang w:val="en-US" w:eastAsia="en-GB"/>
        </w:rPr>
        <w:footnoteReference w:id="50"/>
      </w:r>
      <w:r w:rsidR="007D27FE" w:rsidRPr="003869C1">
        <w:rPr>
          <w:szCs w:val="22"/>
          <w:lang w:val="en-US" w:eastAsia="en-GB"/>
        </w:rPr>
        <w:t xml:space="preserve">.  We would therefore expect to see about 700 employers being named this year, which means that the pace will have to pick up. </w:t>
      </w:r>
      <w:r w:rsidR="005A2B6B">
        <w:rPr>
          <w:szCs w:val="22"/>
          <w:lang w:val="en-US" w:eastAsia="en-GB"/>
        </w:rPr>
        <w:t xml:space="preserve">Although, as set out previously, there are limitations to the information that can be reported via this process, the TUC still recognises that naming and shaming can provide an important means to boost enforcement and deter non-compliance. </w:t>
      </w:r>
      <w:r w:rsidR="007D27FE" w:rsidRPr="003869C1">
        <w:rPr>
          <w:szCs w:val="22"/>
          <w:lang w:val="en-US" w:eastAsia="en-GB"/>
        </w:rPr>
        <w:t xml:space="preserve">It would be </w:t>
      </w:r>
      <w:r w:rsidR="005A2B6B">
        <w:rPr>
          <w:szCs w:val="22"/>
          <w:lang w:val="en-US" w:eastAsia="en-GB"/>
        </w:rPr>
        <w:t xml:space="preserve">therefore </w:t>
      </w:r>
      <w:r w:rsidR="007D27FE" w:rsidRPr="003869C1">
        <w:rPr>
          <w:szCs w:val="22"/>
          <w:lang w:val="en-US" w:eastAsia="en-GB"/>
        </w:rPr>
        <w:t xml:space="preserve">useful for the government to address this point in their own </w:t>
      </w:r>
      <w:r w:rsidR="00813E75" w:rsidRPr="003869C1">
        <w:rPr>
          <w:szCs w:val="22"/>
          <w:lang w:val="en-US" w:eastAsia="en-GB"/>
        </w:rPr>
        <w:t>evidence</w:t>
      </w:r>
      <w:r w:rsidR="007D27FE" w:rsidRPr="003869C1">
        <w:rPr>
          <w:szCs w:val="22"/>
          <w:lang w:val="en-US" w:eastAsia="en-GB"/>
        </w:rPr>
        <w:t xml:space="preserve"> to the </w:t>
      </w:r>
      <w:r w:rsidR="00813E75" w:rsidRPr="003869C1">
        <w:rPr>
          <w:szCs w:val="22"/>
          <w:lang w:val="en-US" w:eastAsia="en-GB"/>
        </w:rPr>
        <w:t>LPC</w:t>
      </w:r>
      <w:r w:rsidR="007D27FE" w:rsidRPr="003869C1">
        <w:rPr>
          <w:szCs w:val="22"/>
          <w:lang w:val="en-US" w:eastAsia="en-GB"/>
        </w:rPr>
        <w:t xml:space="preserve"> and to </w:t>
      </w:r>
      <w:r w:rsidR="00BD21C0" w:rsidRPr="003869C1">
        <w:rPr>
          <w:szCs w:val="22"/>
          <w:lang w:val="en-US" w:eastAsia="en-GB"/>
        </w:rPr>
        <w:t xml:space="preserve">state </w:t>
      </w:r>
      <w:r w:rsidR="007D27FE" w:rsidRPr="003869C1">
        <w:rPr>
          <w:szCs w:val="22"/>
          <w:lang w:val="en-US" w:eastAsia="en-GB"/>
        </w:rPr>
        <w:t xml:space="preserve">how </w:t>
      </w:r>
      <w:r w:rsidR="00813E75" w:rsidRPr="003869C1">
        <w:rPr>
          <w:szCs w:val="22"/>
          <w:lang w:val="en-US" w:eastAsia="en-GB"/>
        </w:rPr>
        <w:t>many</w:t>
      </w:r>
      <w:r w:rsidR="007D27FE" w:rsidRPr="003869C1">
        <w:rPr>
          <w:szCs w:val="22"/>
          <w:lang w:val="en-US" w:eastAsia="en-GB"/>
        </w:rPr>
        <w:t xml:space="preserve"> employers have so far claimed the limited number of </w:t>
      </w:r>
      <w:r w:rsidR="00813E75" w:rsidRPr="003869C1">
        <w:rPr>
          <w:szCs w:val="22"/>
          <w:lang w:val="en-US" w:eastAsia="en-GB"/>
        </w:rPr>
        <w:t>reasons</w:t>
      </w:r>
      <w:r w:rsidR="007D27FE" w:rsidRPr="003869C1">
        <w:rPr>
          <w:szCs w:val="22"/>
          <w:lang w:val="en-US" w:eastAsia="en-GB"/>
        </w:rPr>
        <w:t xml:space="preserve"> that might stop </w:t>
      </w:r>
      <w:r w:rsidR="00813E75" w:rsidRPr="003869C1">
        <w:rPr>
          <w:szCs w:val="22"/>
          <w:lang w:val="en-US" w:eastAsia="en-GB"/>
        </w:rPr>
        <w:t>them</w:t>
      </w:r>
      <w:r w:rsidR="007D27FE" w:rsidRPr="003869C1">
        <w:rPr>
          <w:szCs w:val="22"/>
          <w:lang w:val="en-US" w:eastAsia="en-GB"/>
        </w:rPr>
        <w:t xml:space="preserve"> being named</w:t>
      </w:r>
      <w:r w:rsidR="00BD21C0" w:rsidRPr="003869C1">
        <w:rPr>
          <w:szCs w:val="22"/>
          <w:lang w:val="en-US" w:eastAsia="en-GB"/>
        </w:rPr>
        <w:t xml:space="preserve">. </w:t>
      </w:r>
    </w:p>
    <w:p w:rsidR="007D27FE" w:rsidRPr="003869C1" w:rsidRDefault="007D27FE" w:rsidP="00FA3539">
      <w:pPr>
        <w:pStyle w:val="T5TextBody"/>
        <w:spacing w:line="276" w:lineRule="auto"/>
        <w:rPr>
          <w:szCs w:val="22"/>
          <w:lang w:val="en-US" w:eastAsia="en-GB"/>
        </w:rPr>
      </w:pPr>
      <w:r w:rsidRPr="003869C1">
        <w:rPr>
          <w:szCs w:val="22"/>
          <w:lang w:val="en-US" w:eastAsia="en-GB"/>
        </w:rPr>
        <w:t xml:space="preserve">For a long time the TUC has argued that HMRC should be able to enforce the </w:t>
      </w:r>
      <w:r w:rsidR="00813E75" w:rsidRPr="003869C1">
        <w:rPr>
          <w:szCs w:val="22"/>
          <w:lang w:val="en-US" w:eastAsia="en-GB"/>
        </w:rPr>
        <w:t>minimum</w:t>
      </w:r>
      <w:r w:rsidRPr="003869C1">
        <w:rPr>
          <w:szCs w:val="22"/>
          <w:lang w:val="en-US" w:eastAsia="en-GB"/>
        </w:rPr>
        <w:t xml:space="preserve"> statutory holiday rights. </w:t>
      </w:r>
      <w:r w:rsidR="00C15C13" w:rsidRPr="003869C1">
        <w:rPr>
          <w:szCs w:val="22"/>
          <w:lang w:val="en-US" w:eastAsia="en-GB"/>
        </w:rPr>
        <w:t xml:space="preserve">At the moment, HMRC can enforce the NMW rate, but if the </w:t>
      </w:r>
      <w:r w:rsidR="00813E75" w:rsidRPr="003869C1">
        <w:rPr>
          <w:szCs w:val="22"/>
          <w:lang w:val="en-US" w:eastAsia="en-GB"/>
        </w:rPr>
        <w:t>minimum</w:t>
      </w:r>
      <w:r w:rsidR="00C15C13" w:rsidRPr="003869C1">
        <w:rPr>
          <w:szCs w:val="22"/>
          <w:lang w:val="en-US" w:eastAsia="en-GB"/>
        </w:rPr>
        <w:t xml:space="preserve"> wage worker has not been able to have any holidays then they must be </w:t>
      </w:r>
      <w:r w:rsidR="00813E75" w:rsidRPr="003869C1">
        <w:rPr>
          <w:szCs w:val="22"/>
          <w:lang w:val="en-US" w:eastAsia="en-GB"/>
        </w:rPr>
        <w:t>left</w:t>
      </w:r>
      <w:r w:rsidR="00C15C13" w:rsidRPr="003869C1">
        <w:rPr>
          <w:szCs w:val="22"/>
          <w:lang w:val="en-US" w:eastAsia="en-GB"/>
        </w:rPr>
        <w:t xml:space="preserve"> to take their own case to an employment </w:t>
      </w:r>
      <w:r w:rsidR="00813E75" w:rsidRPr="003869C1">
        <w:rPr>
          <w:szCs w:val="22"/>
          <w:lang w:val="en-US" w:eastAsia="en-GB"/>
        </w:rPr>
        <w:t>tribunal</w:t>
      </w:r>
      <w:r w:rsidR="00C15C13" w:rsidRPr="003869C1">
        <w:rPr>
          <w:szCs w:val="22"/>
          <w:lang w:val="en-US" w:eastAsia="en-GB"/>
        </w:rPr>
        <w:t xml:space="preserve">. This is </w:t>
      </w:r>
      <w:r w:rsidR="00C15C13" w:rsidRPr="003869C1">
        <w:rPr>
          <w:szCs w:val="22"/>
          <w:lang w:val="en-US" w:eastAsia="en-GB"/>
        </w:rPr>
        <w:lastRenderedPageBreak/>
        <w:t xml:space="preserve">has been reported to use by unions as an issue amongst the </w:t>
      </w:r>
      <w:r w:rsidR="00813E75" w:rsidRPr="003869C1">
        <w:rPr>
          <w:szCs w:val="22"/>
          <w:lang w:val="en-US" w:eastAsia="en-GB"/>
        </w:rPr>
        <w:t>vulnerable</w:t>
      </w:r>
      <w:r w:rsidR="00C15C13" w:rsidRPr="003869C1">
        <w:rPr>
          <w:szCs w:val="22"/>
          <w:lang w:val="en-US" w:eastAsia="en-GB"/>
        </w:rPr>
        <w:t xml:space="preserve"> workers that they are </w:t>
      </w:r>
      <w:r w:rsidR="00813E75" w:rsidRPr="003869C1">
        <w:rPr>
          <w:szCs w:val="22"/>
          <w:lang w:val="en-US" w:eastAsia="en-GB"/>
        </w:rPr>
        <w:t>trying</w:t>
      </w:r>
      <w:r w:rsidR="00C15C13" w:rsidRPr="003869C1">
        <w:rPr>
          <w:szCs w:val="22"/>
          <w:lang w:val="en-US" w:eastAsia="en-GB"/>
        </w:rPr>
        <w:t xml:space="preserve"> to recruit. It is </w:t>
      </w:r>
      <w:r w:rsidR="00813E75" w:rsidRPr="003869C1">
        <w:rPr>
          <w:szCs w:val="22"/>
          <w:lang w:val="en-US" w:eastAsia="en-GB"/>
        </w:rPr>
        <w:t>a significant</w:t>
      </w:r>
      <w:r w:rsidR="00C15C13" w:rsidRPr="003869C1">
        <w:rPr>
          <w:szCs w:val="22"/>
          <w:lang w:val="en-US" w:eastAsia="en-GB"/>
        </w:rPr>
        <w:t xml:space="preserve"> loophole that allows employers to cut up to 10.8 per cent</w:t>
      </w:r>
      <w:r w:rsidR="00C15C13" w:rsidRPr="003869C1">
        <w:rPr>
          <w:rStyle w:val="FootnoteReference"/>
          <w:sz w:val="22"/>
          <w:szCs w:val="22"/>
          <w:lang w:val="en-US" w:eastAsia="en-GB"/>
        </w:rPr>
        <w:footnoteReference w:id="51"/>
      </w:r>
      <w:r w:rsidR="00C15C13" w:rsidRPr="003869C1">
        <w:rPr>
          <w:szCs w:val="22"/>
          <w:lang w:val="en-US" w:eastAsia="en-GB"/>
        </w:rPr>
        <w:t xml:space="preserve"> </w:t>
      </w:r>
      <w:r w:rsidR="00BD21C0" w:rsidRPr="003869C1">
        <w:rPr>
          <w:szCs w:val="22"/>
          <w:lang w:val="en-US" w:eastAsia="en-GB"/>
        </w:rPr>
        <w:t>from</w:t>
      </w:r>
      <w:r w:rsidR="00C15C13" w:rsidRPr="003869C1">
        <w:rPr>
          <w:szCs w:val="22"/>
          <w:lang w:val="en-US" w:eastAsia="en-GB"/>
        </w:rPr>
        <w:t xml:space="preserve"> </w:t>
      </w:r>
      <w:r w:rsidR="00813E75" w:rsidRPr="003869C1">
        <w:rPr>
          <w:szCs w:val="22"/>
          <w:lang w:val="en-US" w:eastAsia="en-GB"/>
        </w:rPr>
        <w:t>minimum</w:t>
      </w:r>
      <w:r w:rsidR="00C15C13" w:rsidRPr="003869C1">
        <w:rPr>
          <w:szCs w:val="22"/>
          <w:lang w:val="en-US" w:eastAsia="en-GB"/>
        </w:rPr>
        <w:t xml:space="preserve"> wage workers</w:t>
      </w:r>
      <w:r w:rsidR="00BD21C0" w:rsidRPr="003869C1">
        <w:rPr>
          <w:szCs w:val="22"/>
          <w:lang w:val="en-US" w:eastAsia="en-GB"/>
        </w:rPr>
        <w:t>’</w:t>
      </w:r>
      <w:r w:rsidR="00C15C13" w:rsidRPr="003869C1">
        <w:rPr>
          <w:szCs w:val="22"/>
          <w:lang w:val="en-US" w:eastAsia="en-GB"/>
        </w:rPr>
        <w:t xml:space="preserve"> </w:t>
      </w:r>
      <w:r w:rsidR="00813E75" w:rsidRPr="003869C1">
        <w:rPr>
          <w:szCs w:val="22"/>
          <w:lang w:val="en-US" w:eastAsia="en-GB"/>
        </w:rPr>
        <w:t>earnings</w:t>
      </w:r>
      <w:r w:rsidR="00C15C13" w:rsidRPr="003869C1">
        <w:rPr>
          <w:szCs w:val="22"/>
          <w:lang w:val="en-US" w:eastAsia="en-GB"/>
        </w:rPr>
        <w:t xml:space="preserve"> with little </w:t>
      </w:r>
      <w:r w:rsidR="00813E75" w:rsidRPr="003869C1">
        <w:rPr>
          <w:szCs w:val="22"/>
          <w:lang w:val="en-US" w:eastAsia="en-GB"/>
        </w:rPr>
        <w:t>fear</w:t>
      </w:r>
      <w:r w:rsidR="00C15C13" w:rsidRPr="003869C1">
        <w:rPr>
          <w:szCs w:val="22"/>
          <w:lang w:val="en-US" w:eastAsia="en-GB"/>
        </w:rPr>
        <w:t xml:space="preserve"> of reprisals.</w:t>
      </w:r>
      <w:r w:rsidRPr="003869C1">
        <w:rPr>
          <w:szCs w:val="22"/>
          <w:lang w:val="en-US" w:eastAsia="en-GB"/>
        </w:rPr>
        <w:t xml:space="preserve"> </w:t>
      </w:r>
    </w:p>
    <w:p w:rsidR="005664D9" w:rsidRPr="003869C1" w:rsidRDefault="005664D9" w:rsidP="00FA3539">
      <w:pPr>
        <w:pStyle w:val="T5TextBody"/>
        <w:spacing w:line="276" w:lineRule="auto"/>
        <w:rPr>
          <w:szCs w:val="22"/>
          <w:lang w:val="en-US" w:eastAsia="en-GB"/>
        </w:rPr>
      </w:pPr>
      <w:r w:rsidRPr="003869C1">
        <w:rPr>
          <w:szCs w:val="22"/>
          <w:lang w:val="en-US" w:eastAsia="en-GB"/>
        </w:rPr>
        <w:t xml:space="preserve">The </w:t>
      </w:r>
      <w:r w:rsidR="00813E75" w:rsidRPr="003869C1">
        <w:rPr>
          <w:szCs w:val="22"/>
          <w:lang w:val="en-US" w:eastAsia="en-GB"/>
        </w:rPr>
        <w:t>minimum</w:t>
      </w:r>
      <w:r w:rsidRPr="003869C1">
        <w:rPr>
          <w:szCs w:val="22"/>
          <w:lang w:val="en-US" w:eastAsia="en-GB"/>
        </w:rPr>
        <w:t xml:space="preserve"> wage is enforced either by complaint to HMRC or by workers and </w:t>
      </w:r>
      <w:r w:rsidR="00813E75" w:rsidRPr="003869C1">
        <w:rPr>
          <w:szCs w:val="22"/>
          <w:lang w:val="en-US" w:eastAsia="en-GB"/>
        </w:rPr>
        <w:t>their</w:t>
      </w:r>
      <w:r w:rsidRPr="003869C1">
        <w:rPr>
          <w:szCs w:val="22"/>
          <w:lang w:val="en-US" w:eastAsia="en-GB"/>
        </w:rPr>
        <w:t xml:space="preserve"> </w:t>
      </w:r>
      <w:r w:rsidR="00813E75" w:rsidRPr="003869C1">
        <w:rPr>
          <w:szCs w:val="22"/>
          <w:lang w:val="en-US" w:eastAsia="en-GB"/>
        </w:rPr>
        <w:t>representatives</w:t>
      </w:r>
      <w:r w:rsidRPr="003869C1">
        <w:rPr>
          <w:szCs w:val="22"/>
          <w:lang w:val="en-US" w:eastAsia="en-GB"/>
        </w:rPr>
        <w:t xml:space="preserve"> taking claims to </w:t>
      </w:r>
      <w:r w:rsidR="00813E75" w:rsidRPr="003869C1">
        <w:rPr>
          <w:szCs w:val="22"/>
          <w:lang w:val="en-US" w:eastAsia="en-GB"/>
        </w:rPr>
        <w:t>employment</w:t>
      </w:r>
      <w:r w:rsidRPr="003869C1">
        <w:rPr>
          <w:szCs w:val="22"/>
          <w:lang w:val="en-US" w:eastAsia="en-GB"/>
        </w:rPr>
        <w:t xml:space="preserve"> tribunal. There is great </w:t>
      </w:r>
      <w:r w:rsidR="00813E75" w:rsidRPr="003869C1">
        <w:rPr>
          <w:szCs w:val="22"/>
          <w:lang w:val="en-US" w:eastAsia="en-GB"/>
        </w:rPr>
        <w:t>concern</w:t>
      </w:r>
      <w:r w:rsidRPr="003869C1">
        <w:rPr>
          <w:szCs w:val="22"/>
          <w:lang w:val="en-US" w:eastAsia="en-GB"/>
        </w:rPr>
        <w:t xml:space="preserve"> that the </w:t>
      </w:r>
      <w:r w:rsidR="00813E75" w:rsidRPr="003869C1">
        <w:rPr>
          <w:szCs w:val="22"/>
          <w:lang w:val="en-US" w:eastAsia="en-GB"/>
        </w:rPr>
        <w:t>introduction</w:t>
      </w:r>
      <w:r w:rsidRPr="003869C1">
        <w:rPr>
          <w:szCs w:val="22"/>
          <w:lang w:val="en-US" w:eastAsia="en-GB"/>
        </w:rPr>
        <w:t xml:space="preserve"> of </w:t>
      </w:r>
      <w:r w:rsidR="00813E75" w:rsidRPr="003869C1">
        <w:rPr>
          <w:szCs w:val="22"/>
          <w:lang w:val="en-US" w:eastAsia="en-GB"/>
        </w:rPr>
        <w:t>employment</w:t>
      </w:r>
      <w:r w:rsidRPr="003869C1">
        <w:rPr>
          <w:szCs w:val="22"/>
          <w:lang w:val="en-US" w:eastAsia="en-GB"/>
        </w:rPr>
        <w:t xml:space="preserve"> </w:t>
      </w:r>
      <w:r w:rsidR="00813E75" w:rsidRPr="003869C1">
        <w:rPr>
          <w:szCs w:val="22"/>
          <w:lang w:val="en-US" w:eastAsia="en-GB"/>
        </w:rPr>
        <w:t>tribunal</w:t>
      </w:r>
      <w:r w:rsidRPr="003869C1">
        <w:rPr>
          <w:szCs w:val="22"/>
          <w:lang w:val="en-US" w:eastAsia="en-GB"/>
        </w:rPr>
        <w:t xml:space="preserve"> fees are </w:t>
      </w:r>
      <w:r w:rsidR="00813E75" w:rsidRPr="003869C1">
        <w:rPr>
          <w:szCs w:val="22"/>
          <w:lang w:val="en-US" w:eastAsia="en-GB"/>
        </w:rPr>
        <w:t>detracting</w:t>
      </w:r>
      <w:r w:rsidRPr="003869C1">
        <w:rPr>
          <w:szCs w:val="22"/>
          <w:lang w:val="en-US" w:eastAsia="en-GB"/>
        </w:rPr>
        <w:t xml:space="preserve"> the pursuit of national </w:t>
      </w:r>
      <w:r w:rsidR="00813E75" w:rsidRPr="003869C1">
        <w:rPr>
          <w:szCs w:val="22"/>
          <w:lang w:val="en-US" w:eastAsia="en-GB"/>
        </w:rPr>
        <w:t>minimum</w:t>
      </w:r>
      <w:r w:rsidRPr="003869C1">
        <w:rPr>
          <w:szCs w:val="22"/>
          <w:lang w:val="en-US" w:eastAsia="en-GB"/>
        </w:rPr>
        <w:t xml:space="preserve"> wage cases, not least because the </w:t>
      </w:r>
      <w:r w:rsidR="00813E75" w:rsidRPr="003869C1">
        <w:rPr>
          <w:szCs w:val="22"/>
          <w:lang w:val="en-US" w:eastAsia="en-GB"/>
        </w:rPr>
        <w:t>average</w:t>
      </w:r>
      <w:r w:rsidRPr="003869C1">
        <w:rPr>
          <w:szCs w:val="22"/>
          <w:lang w:val="en-US" w:eastAsia="en-GB"/>
        </w:rPr>
        <w:t xml:space="preserve"> amount owed per worker (£150</w:t>
      </w:r>
      <w:r w:rsidRPr="003869C1">
        <w:rPr>
          <w:rStyle w:val="FootnoteReference"/>
          <w:sz w:val="22"/>
          <w:szCs w:val="22"/>
          <w:lang w:val="en-US" w:eastAsia="en-GB"/>
        </w:rPr>
        <w:footnoteReference w:id="52"/>
      </w:r>
      <w:r w:rsidRPr="003869C1">
        <w:rPr>
          <w:szCs w:val="22"/>
          <w:lang w:val="en-US" w:eastAsia="en-GB"/>
        </w:rPr>
        <w:t xml:space="preserve">) is actually </w:t>
      </w:r>
      <w:r w:rsidR="00166850" w:rsidRPr="003869C1">
        <w:rPr>
          <w:szCs w:val="22"/>
          <w:lang w:val="en-US" w:eastAsia="en-GB"/>
        </w:rPr>
        <w:t xml:space="preserve">quite </w:t>
      </w:r>
      <w:r w:rsidR="00BD21C0" w:rsidRPr="003869C1">
        <w:rPr>
          <w:szCs w:val="22"/>
          <w:lang w:val="en-US" w:eastAsia="en-GB"/>
        </w:rPr>
        <w:t>substantially less</w:t>
      </w:r>
      <w:r w:rsidR="00166850" w:rsidRPr="003869C1">
        <w:rPr>
          <w:szCs w:val="22"/>
          <w:lang w:val="en-US" w:eastAsia="en-GB"/>
        </w:rPr>
        <w:t xml:space="preserve"> </w:t>
      </w:r>
      <w:r w:rsidRPr="003869C1">
        <w:rPr>
          <w:szCs w:val="22"/>
          <w:lang w:val="en-US" w:eastAsia="en-GB"/>
        </w:rPr>
        <w:t>than the fee to lodge the case (</w:t>
      </w:r>
      <w:r w:rsidR="00813E75" w:rsidRPr="003869C1">
        <w:rPr>
          <w:szCs w:val="22"/>
          <w:lang w:val="en-US" w:eastAsia="en-GB"/>
        </w:rPr>
        <w:t>minimum</w:t>
      </w:r>
      <w:r w:rsidRPr="003869C1">
        <w:rPr>
          <w:szCs w:val="22"/>
          <w:lang w:val="en-US" w:eastAsia="en-GB"/>
        </w:rPr>
        <w:t xml:space="preserve"> £</w:t>
      </w:r>
      <w:r w:rsidR="00F328A7" w:rsidRPr="003869C1">
        <w:rPr>
          <w:szCs w:val="22"/>
          <w:lang w:val="en-US" w:eastAsia="en-GB"/>
        </w:rPr>
        <w:t>390</w:t>
      </w:r>
      <w:r w:rsidRPr="003869C1">
        <w:rPr>
          <w:szCs w:val="22"/>
          <w:lang w:val="en-US" w:eastAsia="en-GB"/>
        </w:rPr>
        <w:t>)</w:t>
      </w:r>
      <w:r w:rsidRPr="003869C1">
        <w:rPr>
          <w:rStyle w:val="FootnoteReference"/>
          <w:sz w:val="22"/>
          <w:szCs w:val="22"/>
          <w:lang w:val="en-US" w:eastAsia="en-GB"/>
        </w:rPr>
        <w:footnoteReference w:id="53"/>
      </w:r>
      <w:r w:rsidRPr="003869C1">
        <w:rPr>
          <w:szCs w:val="22"/>
          <w:lang w:val="en-US" w:eastAsia="en-GB"/>
        </w:rPr>
        <w:t>.</w:t>
      </w:r>
    </w:p>
    <w:p w:rsidR="00BD21C0" w:rsidRPr="003869C1" w:rsidRDefault="001200AB" w:rsidP="00FA3539">
      <w:pPr>
        <w:pStyle w:val="T5TextBody"/>
        <w:spacing w:line="276" w:lineRule="auto"/>
        <w:rPr>
          <w:szCs w:val="22"/>
          <w:lang w:val="en-US" w:eastAsia="en-GB"/>
        </w:rPr>
      </w:pPr>
      <w:r w:rsidRPr="003869C1">
        <w:rPr>
          <w:szCs w:val="22"/>
          <w:lang w:val="en-US" w:eastAsia="en-GB"/>
        </w:rPr>
        <w:t xml:space="preserve">There is </w:t>
      </w:r>
      <w:r w:rsidR="00BD21C0" w:rsidRPr="003869C1">
        <w:rPr>
          <w:szCs w:val="22"/>
          <w:lang w:val="en-US" w:eastAsia="en-GB"/>
        </w:rPr>
        <w:t xml:space="preserve">also </w:t>
      </w:r>
      <w:r w:rsidRPr="003869C1">
        <w:rPr>
          <w:szCs w:val="22"/>
          <w:lang w:val="en-US" w:eastAsia="en-GB"/>
        </w:rPr>
        <w:t xml:space="preserve">concern that not all the </w:t>
      </w:r>
      <w:r w:rsidR="00813E75" w:rsidRPr="003869C1">
        <w:rPr>
          <w:szCs w:val="22"/>
          <w:lang w:val="en-US" w:eastAsia="en-GB"/>
        </w:rPr>
        <w:t>arrears</w:t>
      </w:r>
      <w:r w:rsidRPr="003869C1">
        <w:rPr>
          <w:szCs w:val="22"/>
          <w:lang w:val="en-US" w:eastAsia="en-GB"/>
        </w:rPr>
        <w:t xml:space="preserve"> identified by HMRC are </w:t>
      </w:r>
      <w:r w:rsidR="00813E75" w:rsidRPr="003869C1">
        <w:rPr>
          <w:szCs w:val="22"/>
          <w:lang w:val="en-US" w:eastAsia="en-GB"/>
        </w:rPr>
        <w:t>recoverable</w:t>
      </w:r>
      <w:r w:rsidRPr="003869C1">
        <w:rPr>
          <w:szCs w:val="22"/>
          <w:lang w:val="en-US" w:eastAsia="en-GB"/>
        </w:rPr>
        <w:t xml:space="preserve">. Some employers go </w:t>
      </w:r>
      <w:r w:rsidR="00813E75" w:rsidRPr="003869C1">
        <w:rPr>
          <w:szCs w:val="22"/>
          <w:lang w:val="en-US" w:eastAsia="en-GB"/>
        </w:rPr>
        <w:t>bankrupt</w:t>
      </w:r>
      <w:r w:rsidRPr="003869C1">
        <w:rPr>
          <w:szCs w:val="22"/>
          <w:lang w:val="en-US" w:eastAsia="en-GB"/>
        </w:rPr>
        <w:t xml:space="preserve"> to avoid </w:t>
      </w:r>
      <w:r w:rsidR="00813E75" w:rsidRPr="003869C1">
        <w:rPr>
          <w:szCs w:val="22"/>
          <w:lang w:val="en-US" w:eastAsia="en-GB"/>
        </w:rPr>
        <w:t>arrears</w:t>
      </w:r>
      <w:r w:rsidRPr="003869C1">
        <w:rPr>
          <w:szCs w:val="22"/>
          <w:lang w:val="en-US" w:eastAsia="en-GB"/>
        </w:rPr>
        <w:t xml:space="preserve">, whilst others simply vanish. In these cases, </w:t>
      </w:r>
      <w:r w:rsidR="00A82A2B" w:rsidRPr="003869C1">
        <w:rPr>
          <w:szCs w:val="22"/>
          <w:lang w:val="en-US" w:eastAsia="en-GB"/>
        </w:rPr>
        <w:t>underpaid</w:t>
      </w:r>
      <w:r w:rsidRPr="003869C1">
        <w:rPr>
          <w:szCs w:val="22"/>
          <w:lang w:val="en-US" w:eastAsia="en-GB"/>
        </w:rPr>
        <w:t xml:space="preserve"> workers simply lose out</w:t>
      </w:r>
      <w:r w:rsidR="008F5A7D" w:rsidRPr="003869C1">
        <w:rPr>
          <w:szCs w:val="22"/>
          <w:lang w:val="en-US" w:eastAsia="en-GB"/>
        </w:rPr>
        <w:t>.</w:t>
      </w:r>
      <w:r w:rsidR="00BD21C0" w:rsidRPr="003869C1">
        <w:rPr>
          <w:szCs w:val="22"/>
          <w:lang w:val="en-US" w:eastAsia="en-GB"/>
        </w:rPr>
        <w:t xml:space="preserve"> Drawing on work published by the Centre for London, the TUC proposes that the government should guarantee the minimum wage in such cases. There is already precedent for this kind of measure in the form of the </w:t>
      </w:r>
      <w:r w:rsidR="008C6977" w:rsidRPr="003869C1">
        <w:rPr>
          <w:szCs w:val="22"/>
          <w:lang w:val="en-US" w:eastAsia="en-GB"/>
        </w:rPr>
        <w:t>S</w:t>
      </w:r>
      <w:r w:rsidR="00BD21C0" w:rsidRPr="003869C1">
        <w:rPr>
          <w:szCs w:val="22"/>
          <w:lang w:val="en-US" w:eastAsia="en-GB"/>
        </w:rPr>
        <w:t xml:space="preserve">tate </w:t>
      </w:r>
      <w:r w:rsidR="008C6977" w:rsidRPr="003869C1">
        <w:rPr>
          <w:szCs w:val="22"/>
          <w:lang w:val="en-US" w:eastAsia="en-GB"/>
        </w:rPr>
        <w:t>G</w:t>
      </w:r>
      <w:r w:rsidR="00BD21C0" w:rsidRPr="003869C1">
        <w:rPr>
          <w:szCs w:val="22"/>
          <w:lang w:val="en-US" w:eastAsia="en-GB"/>
        </w:rPr>
        <w:t xml:space="preserve">uarantee </w:t>
      </w:r>
      <w:r w:rsidR="008C6977" w:rsidRPr="003869C1">
        <w:rPr>
          <w:szCs w:val="22"/>
          <w:lang w:val="en-US" w:eastAsia="en-GB"/>
        </w:rPr>
        <w:t>F</w:t>
      </w:r>
      <w:r w:rsidR="00BD21C0" w:rsidRPr="003869C1">
        <w:rPr>
          <w:szCs w:val="22"/>
          <w:lang w:val="en-US" w:eastAsia="en-GB"/>
        </w:rPr>
        <w:t xml:space="preserve">und for </w:t>
      </w:r>
      <w:r w:rsidR="008C6977" w:rsidRPr="003869C1">
        <w:rPr>
          <w:szCs w:val="22"/>
          <w:lang w:val="en-US" w:eastAsia="en-GB"/>
        </w:rPr>
        <w:t>R</w:t>
      </w:r>
      <w:r w:rsidR="00BD21C0" w:rsidRPr="003869C1">
        <w:rPr>
          <w:szCs w:val="22"/>
          <w:lang w:val="en-US" w:eastAsia="en-GB"/>
        </w:rPr>
        <w:t xml:space="preserve">edundancy and </w:t>
      </w:r>
      <w:r w:rsidR="008C6977" w:rsidRPr="003869C1">
        <w:rPr>
          <w:szCs w:val="22"/>
          <w:lang w:val="en-US" w:eastAsia="en-GB"/>
        </w:rPr>
        <w:t>I</w:t>
      </w:r>
      <w:r w:rsidR="00BD21C0" w:rsidRPr="003869C1">
        <w:rPr>
          <w:szCs w:val="22"/>
          <w:lang w:val="en-US" w:eastAsia="en-GB"/>
        </w:rPr>
        <w:t>nsolvency</w:t>
      </w:r>
      <w:r w:rsidR="00BD21C0" w:rsidRPr="003869C1">
        <w:rPr>
          <w:rStyle w:val="FootnoteReference"/>
          <w:sz w:val="22"/>
          <w:szCs w:val="22"/>
          <w:lang w:val="en-US" w:eastAsia="en-GB"/>
        </w:rPr>
        <w:footnoteReference w:id="54"/>
      </w:r>
      <w:r w:rsidR="00BD21C0" w:rsidRPr="003869C1">
        <w:rPr>
          <w:szCs w:val="22"/>
          <w:lang w:val="en-US" w:eastAsia="en-GB"/>
        </w:rPr>
        <w:t>. Our estimate is that the amount guaranteed would not be more than £1 million per year and that this cost would be partly offset by an attendant reduction in claims for benefit.</w:t>
      </w:r>
    </w:p>
    <w:p w:rsidR="008128D1" w:rsidRPr="003869C1" w:rsidRDefault="00813E75" w:rsidP="00FA3539">
      <w:pPr>
        <w:pStyle w:val="T5TextBody"/>
        <w:spacing w:line="276" w:lineRule="auto"/>
        <w:rPr>
          <w:szCs w:val="22"/>
          <w:lang w:val="en-US" w:eastAsia="en-GB"/>
        </w:rPr>
      </w:pPr>
      <w:r w:rsidRPr="003869C1">
        <w:rPr>
          <w:szCs w:val="22"/>
          <w:lang w:val="en-US" w:eastAsia="en-GB"/>
        </w:rPr>
        <w:t>Turning to types of non-compliance, all the previously reported scams can still be found, including under-recording of hours, unachievable piece rates and illegal deductions for tools, travel or uniforms.</w:t>
      </w:r>
    </w:p>
    <w:p w:rsidR="008128D1" w:rsidRDefault="008128D1" w:rsidP="00FA3539">
      <w:pPr>
        <w:pStyle w:val="T5TextBody"/>
        <w:spacing w:line="276" w:lineRule="auto"/>
        <w:rPr>
          <w:szCs w:val="22"/>
          <w:lang w:val="en-US" w:eastAsia="en-GB"/>
        </w:rPr>
      </w:pPr>
      <w:r w:rsidRPr="003869C1">
        <w:rPr>
          <w:szCs w:val="22"/>
          <w:lang w:val="en-US" w:eastAsia="en-GB"/>
        </w:rPr>
        <w:t xml:space="preserve">In addition, there are still employers who cheat on the </w:t>
      </w:r>
      <w:r w:rsidR="00813E75" w:rsidRPr="003869C1">
        <w:rPr>
          <w:szCs w:val="22"/>
          <w:lang w:val="en-US" w:eastAsia="en-GB"/>
        </w:rPr>
        <w:t>accommodation</w:t>
      </w:r>
      <w:r w:rsidRPr="003869C1">
        <w:rPr>
          <w:szCs w:val="22"/>
          <w:lang w:val="en-US" w:eastAsia="en-GB"/>
        </w:rPr>
        <w:t xml:space="preserve"> offset. We have heard it </w:t>
      </w:r>
      <w:r w:rsidR="00813E75" w:rsidRPr="003869C1">
        <w:rPr>
          <w:szCs w:val="22"/>
          <w:lang w:val="en-US" w:eastAsia="en-GB"/>
        </w:rPr>
        <w:t>alleged</w:t>
      </w:r>
      <w:r w:rsidRPr="003869C1">
        <w:rPr>
          <w:szCs w:val="22"/>
          <w:lang w:val="en-US" w:eastAsia="en-GB"/>
        </w:rPr>
        <w:t xml:space="preserve"> that in some cases there has been close </w:t>
      </w:r>
      <w:r w:rsidR="00813E75" w:rsidRPr="003869C1">
        <w:rPr>
          <w:szCs w:val="22"/>
          <w:lang w:val="en-US" w:eastAsia="en-GB"/>
        </w:rPr>
        <w:t>collusion</w:t>
      </w:r>
      <w:r w:rsidRPr="003869C1">
        <w:rPr>
          <w:szCs w:val="22"/>
          <w:lang w:val="en-US" w:eastAsia="en-GB"/>
        </w:rPr>
        <w:t xml:space="preserve"> between employers and </w:t>
      </w:r>
      <w:r w:rsidR="00813E75" w:rsidRPr="003869C1">
        <w:rPr>
          <w:szCs w:val="22"/>
          <w:lang w:val="en-US" w:eastAsia="en-GB"/>
        </w:rPr>
        <w:t>accommodation</w:t>
      </w:r>
      <w:r w:rsidRPr="003869C1">
        <w:rPr>
          <w:szCs w:val="22"/>
          <w:lang w:val="en-US" w:eastAsia="en-GB"/>
        </w:rPr>
        <w:t xml:space="preserve"> providers </w:t>
      </w:r>
      <w:r w:rsidR="00BD21C0" w:rsidRPr="003869C1">
        <w:rPr>
          <w:szCs w:val="22"/>
          <w:lang w:val="en-US" w:eastAsia="en-GB"/>
        </w:rPr>
        <w:t>to facilitate underpayment of the NMW</w:t>
      </w:r>
      <w:r w:rsidRPr="003869C1">
        <w:rPr>
          <w:szCs w:val="22"/>
          <w:lang w:val="en-US" w:eastAsia="en-GB"/>
        </w:rPr>
        <w:t>.</w:t>
      </w:r>
      <w:r w:rsidR="00D05218">
        <w:rPr>
          <w:szCs w:val="22"/>
          <w:lang w:val="en-US" w:eastAsia="en-GB"/>
        </w:rPr>
        <w:t xml:space="preserve"> </w:t>
      </w:r>
    </w:p>
    <w:p w:rsidR="00F20CB0" w:rsidRDefault="003B4759">
      <w:pPr>
        <w:spacing w:line="276" w:lineRule="auto"/>
        <w:rPr>
          <w:rFonts w:ascii="Sabon" w:hAnsi="Sabon"/>
          <w:sz w:val="22"/>
          <w:szCs w:val="22"/>
        </w:rPr>
      </w:pPr>
      <w:r w:rsidRPr="003B4759">
        <w:rPr>
          <w:rFonts w:ascii="Sabon" w:hAnsi="Sabon"/>
          <w:sz w:val="22"/>
          <w:szCs w:val="22"/>
        </w:rPr>
        <w:t xml:space="preserve">A 2007 </w:t>
      </w:r>
      <w:r w:rsidR="00D05218" w:rsidRPr="00D05218">
        <w:rPr>
          <w:rFonts w:ascii="Sabon" w:hAnsi="Sabon"/>
          <w:sz w:val="22"/>
          <w:szCs w:val="22"/>
        </w:rPr>
        <w:t>government</w:t>
      </w:r>
      <w:r w:rsidRPr="003B4759">
        <w:rPr>
          <w:rFonts w:ascii="Sabon" w:hAnsi="Sabon"/>
          <w:sz w:val="22"/>
          <w:szCs w:val="22"/>
        </w:rPr>
        <w:t xml:space="preserve"> statement said that employers could not split their businesses into employment and housing divisions in order to avoid the constraints of the accommodation offset. The old DTI guidance</w:t>
      </w:r>
      <w:r w:rsidRPr="003B4759">
        <w:rPr>
          <w:rStyle w:val="FootnoteReference"/>
          <w:rFonts w:ascii="Sabon" w:hAnsi="Sabon"/>
          <w:sz w:val="22"/>
          <w:szCs w:val="22"/>
        </w:rPr>
        <w:footnoteReference w:id="55"/>
      </w:r>
      <w:r w:rsidRPr="003B4759">
        <w:rPr>
          <w:rFonts w:ascii="Sabon" w:hAnsi="Sabon"/>
          <w:sz w:val="22"/>
          <w:szCs w:val="22"/>
        </w:rPr>
        <w:t xml:space="preserve"> ruled out the use of the accommodation offset when:</w:t>
      </w:r>
    </w:p>
    <w:p w:rsidR="00F20CB0" w:rsidRDefault="00F20CB0">
      <w:pPr>
        <w:spacing w:line="276" w:lineRule="auto"/>
        <w:rPr>
          <w:rFonts w:ascii="Sabon" w:hAnsi="Sabon"/>
          <w:sz w:val="22"/>
          <w:szCs w:val="22"/>
        </w:rPr>
      </w:pPr>
    </w:p>
    <w:p w:rsidR="00D05218" w:rsidRPr="00D05218" w:rsidRDefault="003B4759" w:rsidP="00D05218">
      <w:pPr>
        <w:pStyle w:val="ListParagraph"/>
        <w:widowControl/>
        <w:numPr>
          <w:ilvl w:val="0"/>
          <w:numId w:val="30"/>
        </w:numPr>
        <w:autoSpaceDE w:val="0"/>
        <w:autoSpaceDN w:val="0"/>
        <w:adjustRightInd w:val="0"/>
        <w:spacing w:line="276" w:lineRule="auto"/>
        <w:contextualSpacing/>
        <w:rPr>
          <w:rFonts w:ascii="Sabon" w:hAnsi="Sabon" w:cs="Univers55"/>
          <w:sz w:val="22"/>
          <w:szCs w:val="22"/>
        </w:rPr>
      </w:pPr>
      <w:r w:rsidRPr="003B4759">
        <w:rPr>
          <w:rFonts w:ascii="Sabon" w:hAnsi="Sabon" w:cs="Univers55"/>
          <w:sz w:val="22"/>
          <w:szCs w:val="22"/>
        </w:rPr>
        <w:lastRenderedPageBreak/>
        <w:t>“the employer’s business and the landlord’s business have the same owner or business partners, directors or shareholders in common ; or</w:t>
      </w:r>
    </w:p>
    <w:p w:rsidR="0081076E" w:rsidRDefault="003B4759">
      <w:pPr>
        <w:pStyle w:val="ListParagraph"/>
        <w:widowControl/>
        <w:numPr>
          <w:ilvl w:val="0"/>
          <w:numId w:val="30"/>
        </w:numPr>
        <w:autoSpaceDE w:val="0"/>
        <w:autoSpaceDN w:val="0"/>
        <w:adjustRightInd w:val="0"/>
        <w:spacing w:line="276" w:lineRule="auto"/>
        <w:contextualSpacing/>
        <w:rPr>
          <w:rFonts w:ascii="Sabon" w:hAnsi="Sabon" w:cs="Univers55"/>
          <w:sz w:val="22"/>
          <w:szCs w:val="22"/>
        </w:rPr>
      </w:pPr>
      <w:r w:rsidRPr="003B4759">
        <w:rPr>
          <w:rFonts w:ascii="Sabon" w:hAnsi="Sabon" w:cs="Univers55"/>
          <w:sz w:val="22"/>
          <w:szCs w:val="22"/>
        </w:rPr>
        <w:t>the employer business, its owner, one of its business partners, shareholders or directors derives some financial and/or other benefit from the provision of accommodation and a family member of that owner, business partner, shareholder or directors is the owner, business partner, shareholder or director of the landlord’s business.”</w:t>
      </w:r>
    </w:p>
    <w:p w:rsidR="0081076E" w:rsidRDefault="0081076E" w:rsidP="00E86F94">
      <w:pPr>
        <w:pStyle w:val="ListParagraph"/>
        <w:widowControl/>
        <w:autoSpaceDE w:val="0"/>
        <w:autoSpaceDN w:val="0"/>
        <w:adjustRightInd w:val="0"/>
        <w:spacing w:line="276" w:lineRule="auto"/>
        <w:contextualSpacing/>
        <w:rPr>
          <w:rFonts w:ascii="Sabon" w:hAnsi="Sabon" w:cs="Univers55"/>
          <w:sz w:val="22"/>
          <w:szCs w:val="22"/>
        </w:rPr>
      </w:pPr>
    </w:p>
    <w:p w:rsidR="0081076E" w:rsidRDefault="00D05218">
      <w:pPr>
        <w:pStyle w:val="T5TextBody"/>
        <w:spacing w:line="276" w:lineRule="auto"/>
        <w:rPr>
          <w:szCs w:val="22"/>
          <w:lang w:val="en-US" w:eastAsia="en-GB"/>
        </w:rPr>
      </w:pPr>
      <w:r w:rsidRPr="00D05218">
        <w:rPr>
          <w:szCs w:val="22"/>
          <w:lang w:val="en-US" w:eastAsia="en-GB"/>
        </w:rPr>
        <w:t>This should be revived in the regulations and guidance.</w:t>
      </w:r>
    </w:p>
    <w:p w:rsidR="008128D1" w:rsidRPr="003869C1" w:rsidRDefault="008128D1" w:rsidP="00FA3539">
      <w:pPr>
        <w:pStyle w:val="T5TextBody"/>
        <w:spacing w:line="276" w:lineRule="auto"/>
        <w:rPr>
          <w:szCs w:val="22"/>
          <w:lang w:val="en-US" w:eastAsia="en-GB"/>
        </w:rPr>
      </w:pPr>
      <w:r w:rsidRPr="003869C1">
        <w:rPr>
          <w:szCs w:val="22"/>
          <w:lang w:val="en-US" w:eastAsia="en-GB"/>
        </w:rPr>
        <w:t xml:space="preserve">The </w:t>
      </w:r>
      <w:r w:rsidR="00813E75" w:rsidRPr="003869C1">
        <w:rPr>
          <w:szCs w:val="22"/>
          <w:lang w:val="en-US" w:eastAsia="en-GB"/>
        </w:rPr>
        <w:t>poor</w:t>
      </w:r>
      <w:r w:rsidRPr="003869C1">
        <w:rPr>
          <w:szCs w:val="22"/>
          <w:lang w:val="en-US" w:eastAsia="en-GB"/>
        </w:rPr>
        <w:t xml:space="preserve"> </w:t>
      </w:r>
      <w:r w:rsidR="00813E75" w:rsidRPr="003869C1">
        <w:rPr>
          <w:szCs w:val="22"/>
          <w:lang w:val="en-US" w:eastAsia="en-GB"/>
        </w:rPr>
        <w:t>standard</w:t>
      </w:r>
      <w:r w:rsidRPr="003869C1">
        <w:rPr>
          <w:szCs w:val="22"/>
          <w:lang w:val="en-US" w:eastAsia="en-GB"/>
        </w:rPr>
        <w:t xml:space="preserve"> of some accommodation </w:t>
      </w:r>
      <w:r w:rsidR="00187091" w:rsidRPr="003869C1">
        <w:rPr>
          <w:szCs w:val="22"/>
          <w:lang w:val="en-US" w:eastAsia="en-GB"/>
        </w:rPr>
        <w:t xml:space="preserve">also </w:t>
      </w:r>
      <w:r w:rsidR="00813E75" w:rsidRPr="003869C1">
        <w:rPr>
          <w:szCs w:val="22"/>
          <w:lang w:val="en-US" w:eastAsia="en-GB"/>
        </w:rPr>
        <w:t>remains</w:t>
      </w:r>
      <w:r w:rsidRPr="003869C1">
        <w:rPr>
          <w:szCs w:val="22"/>
          <w:lang w:val="en-US" w:eastAsia="en-GB"/>
        </w:rPr>
        <w:t xml:space="preserve"> a concern. Our often-stated </w:t>
      </w:r>
      <w:r w:rsidR="00813E75" w:rsidRPr="003869C1">
        <w:rPr>
          <w:szCs w:val="22"/>
          <w:lang w:val="en-US" w:eastAsia="en-GB"/>
        </w:rPr>
        <w:t>view</w:t>
      </w:r>
      <w:r w:rsidRPr="003869C1">
        <w:rPr>
          <w:szCs w:val="22"/>
          <w:lang w:val="en-US" w:eastAsia="en-GB"/>
        </w:rPr>
        <w:t xml:space="preserve"> is that the offset should not be applicable to employers who provide accommodation that is </w:t>
      </w:r>
      <w:r w:rsidR="00813E75" w:rsidRPr="003869C1">
        <w:rPr>
          <w:szCs w:val="22"/>
          <w:lang w:val="en-US" w:eastAsia="en-GB"/>
        </w:rPr>
        <w:t>either</w:t>
      </w:r>
      <w:r w:rsidRPr="003869C1">
        <w:rPr>
          <w:szCs w:val="22"/>
          <w:lang w:val="en-US" w:eastAsia="en-GB"/>
        </w:rPr>
        <w:t xml:space="preserve"> overcrowded </w:t>
      </w:r>
      <w:r w:rsidR="00813E75" w:rsidRPr="003869C1">
        <w:rPr>
          <w:szCs w:val="22"/>
          <w:lang w:val="en-US" w:eastAsia="en-GB"/>
        </w:rPr>
        <w:t>or</w:t>
      </w:r>
      <w:r w:rsidRPr="003869C1">
        <w:rPr>
          <w:szCs w:val="22"/>
          <w:lang w:val="en-US" w:eastAsia="en-GB"/>
        </w:rPr>
        <w:t xml:space="preserve"> unfit </w:t>
      </w:r>
      <w:r w:rsidR="00FC4D13">
        <w:rPr>
          <w:szCs w:val="22"/>
          <w:lang w:val="en-US" w:eastAsia="en-GB"/>
        </w:rPr>
        <w:t xml:space="preserve">for habitation </w:t>
      </w:r>
      <w:r w:rsidRPr="003869C1">
        <w:rPr>
          <w:szCs w:val="22"/>
          <w:lang w:val="en-US" w:eastAsia="en-GB"/>
        </w:rPr>
        <w:t xml:space="preserve">in the legal sense of </w:t>
      </w:r>
      <w:r w:rsidR="00813E75" w:rsidRPr="003869C1">
        <w:rPr>
          <w:szCs w:val="22"/>
          <w:lang w:val="en-US" w:eastAsia="en-GB"/>
        </w:rPr>
        <w:t>these terms</w:t>
      </w:r>
      <w:r w:rsidRPr="003869C1">
        <w:rPr>
          <w:szCs w:val="22"/>
          <w:lang w:val="en-US" w:eastAsia="en-GB"/>
        </w:rPr>
        <w:t xml:space="preserve">, to those </w:t>
      </w:r>
      <w:r w:rsidR="00813E75" w:rsidRPr="003869C1">
        <w:rPr>
          <w:szCs w:val="22"/>
          <w:lang w:val="en-US" w:eastAsia="en-GB"/>
        </w:rPr>
        <w:t>who</w:t>
      </w:r>
      <w:r w:rsidRPr="003869C1">
        <w:rPr>
          <w:szCs w:val="22"/>
          <w:lang w:val="en-US" w:eastAsia="en-GB"/>
        </w:rPr>
        <w:t xml:space="preserve"> provide </w:t>
      </w:r>
      <w:r w:rsidR="00813E75" w:rsidRPr="003869C1">
        <w:rPr>
          <w:szCs w:val="22"/>
          <w:lang w:val="en-US" w:eastAsia="en-GB"/>
        </w:rPr>
        <w:t>tents</w:t>
      </w:r>
      <w:r w:rsidRPr="003869C1">
        <w:rPr>
          <w:szCs w:val="22"/>
          <w:lang w:val="en-US" w:eastAsia="en-GB"/>
        </w:rPr>
        <w:t xml:space="preserve"> for their workers or for caravans with no hot water or internal </w:t>
      </w:r>
      <w:r w:rsidR="00813E75" w:rsidRPr="003869C1">
        <w:rPr>
          <w:szCs w:val="22"/>
          <w:lang w:val="en-US" w:eastAsia="en-GB"/>
        </w:rPr>
        <w:t>sanitation</w:t>
      </w:r>
      <w:r w:rsidRPr="003869C1">
        <w:rPr>
          <w:szCs w:val="22"/>
          <w:lang w:val="en-US" w:eastAsia="en-GB"/>
        </w:rPr>
        <w:t>.</w:t>
      </w:r>
    </w:p>
    <w:p w:rsidR="007D27FE" w:rsidRPr="003869C1" w:rsidRDefault="004B0139" w:rsidP="00FA3539">
      <w:pPr>
        <w:pStyle w:val="T5TextBody"/>
        <w:spacing w:line="276" w:lineRule="auto"/>
        <w:rPr>
          <w:szCs w:val="22"/>
          <w:lang w:val="en-US" w:eastAsia="en-GB"/>
        </w:rPr>
      </w:pPr>
      <w:r w:rsidRPr="003869C1">
        <w:rPr>
          <w:szCs w:val="22"/>
          <w:lang w:val="en-US" w:eastAsia="en-GB"/>
        </w:rPr>
        <w:t>M</w:t>
      </w:r>
      <w:r w:rsidR="008128D1" w:rsidRPr="003869C1">
        <w:rPr>
          <w:szCs w:val="22"/>
          <w:lang w:val="en-US" w:eastAsia="en-GB"/>
        </w:rPr>
        <w:t>ore simply,</w:t>
      </w:r>
      <w:r w:rsidR="00FC4D13">
        <w:rPr>
          <w:szCs w:val="22"/>
          <w:lang w:val="en-US" w:eastAsia="en-GB"/>
        </w:rPr>
        <w:t xml:space="preserve"> another scam that has </w:t>
      </w:r>
      <w:r w:rsidRPr="003869C1">
        <w:rPr>
          <w:szCs w:val="22"/>
          <w:lang w:val="en-US" w:eastAsia="en-GB"/>
        </w:rPr>
        <w:t xml:space="preserve">been </w:t>
      </w:r>
      <w:r w:rsidR="00813E75" w:rsidRPr="003869C1">
        <w:rPr>
          <w:szCs w:val="22"/>
          <w:lang w:val="en-US" w:eastAsia="en-GB"/>
        </w:rPr>
        <w:t>reported</w:t>
      </w:r>
      <w:r w:rsidRPr="003869C1">
        <w:rPr>
          <w:szCs w:val="22"/>
          <w:lang w:val="en-US" w:eastAsia="en-GB"/>
        </w:rPr>
        <w:t xml:space="preserve"> </w:t>
      </w:r>
      <w:r w:rsidR="00FC4D13">
        <w:rPr>
          <w:szCs w:val="22"/>
          <w:lang w:val="en-US" w:eastAsia="en-GB"/>
        </w:rPr>
        <w:t xml:space="preserve">is </w:t>
      </w:r>
      <w:r w:rsidRPr="003869C1">
        <w:rPr>
          <w:szCs w:val="22"/>
          <w:lang w:val="en-US" w:eastAsia="en-GB"/>
        </w:rPr>
        <w:t xml:space="preserve">that there are a number of </w:t>
      </w:r>
      <w:r w:rsidR="008128D1" w:rsidRPr="003869C1">
        <w:rPr>
          <w:szCs w:val="22"/>
          <w:lang w:val="en-US" w:eastAsia="en-GB"/>
        </w:rPr>
        <w:t xml:space="preserve">employers who cynically and </w:t>
      </w:r>
      <w:r w:rsidR="00813E75" w:rsidRPr="003869C1">
        <w:rPr>
          <w:szCs w:val="22"/>
          <w:lang w:val="en-US" w:eastAsia="en-GB"/>
        </w:rPr>
        <w:t>deliberately</w:t>
      </w:r>
      <w:r w:rsidR="008128D1" w:rsidRPr="003869C1">
        <w:rPr>
          <w:szCs w:val="22"/>
          <w:lang w:val="en-US" w:eastAsia="en-GB"/>
        </w:rPr>
        <w:t xml:space="preserve"> pay</w:t>
      </w:r>
      <w:r w:rsidR="00187091" w:rsidRPr="003869C1">
        <w:rPr>
          <w:szCs w:val="22"/>
          <w:lang w:val="en-US" w:eastAsia="en-GB"/>
        </w:rPr>
        <w:t xml:space="preserve"> the minimum wage</w:t>
      </w:r>
      <w:r w:rsidR="008128D1" w:rsidRPr="003869C1">
        <w:rPr>
          <w:szCs w:val="22"/>
          <w:lang w:val="en-US" w:eastAsia="en-GB"/>
        </w:rPr>
        <w:t xml:space="preserve"> </w:t>
      </w:r>
      <w:r w:rsidR="00813E75" w:rsidRPr="003869C1">
        <w:rPr>
          <w:szCs w:val="22"/>
          <w:lang w:val="en-US" w:eastAsia="en-GB"/>
        </w:rPr>
        <w:t>intermittently</w:t>
      </w:r>
      <w:r w:rsidR="008128D1" w:rsidRPr="003869C1">
        <w:rPr>
          <w:szCs w:val="22"/>
          <w:lang w:val="en-US" w:eastAsia="en-GB"/>
        </w:rPr>
        <w:t xml:space="preserve">, </w:t>
      </w:r>
      <w:r w:rsidR="00813E75" w:rsidRPr="003869C1">
        <w:rPr>
          <w:szCs w:val="22"/>
          <w:lang w:val="en-US" w:eastAsia="en-GB"/>
        </w:rPr>
        <w:t>knowing</w:t>
      </w:r>
      <w:r w:rsidR="008128D1" w:rsidRPr="003869C1">
        <w:rPr>
          <w:szCs w:val="22"/>
          <w:lang w:val="en-US" w:eastAsia="en-GB"/>
        </w:rPr>
        <w:t xml:space="preserve"> that most workers will not bother to </w:t>
      </w:r>
      <w:r w:rsidR="00813E75" w:rsidRPr="003869C1">
        <w:rPr>
          <w:szCs w:val="22"/>
          <w:lang w:val="en-US" w:eastAsia="en-GB"/>
        </w:rPr>
        <w:t>pursue</w:t>
      </w:r>
      <w:r w:rsidR="008128D1" w:rsidRPr="003869C1">
        <w:rPr>
          <w:szCs w:val="22"/>
          <w:lang w:val="en-US" w:eastAsia="en-GB"/>
        </w:rPr>
        <w:t xml:space="preserve"> </w:t>
      </w:r>
      <w:r w:rsidR="00813E75" w:rsidRPr="003869C1">
        <w:rPr>
          <w:szCs w:val="22"/>
          <w:lang w:val="en-US" w:eastAsia="en-GB"/>
        </w:rPr>
        <w:t>intermittent</w:t>
      </w:r>
      <w:r w:rsidR="008128D1" w:rsidRPr="003869C1">
        <w:rPr>
          <w:szCs w:val="22"/>
          <w:lang w:val="en-US" w:eastAsia="en-GB"/>
        </w:rPr>
        <w:t xml:space="preserve"> </w:t>
      </w:r>
      <w:r w:rsidR="00813E75" w:rsidRPr="003869C1">
        <w:rPr>
          <w:szCs w:val="22"/>
          <w:lang w:val="en-US" w:eastAsia="en-GB"/>
        </w:rPr>
        <w:t>underpayment</w:t>
      </w:r>
      <w:r w:rsidR="008128D1" w:rsidRPr="003869C1">
        <w:rPr>
          <w:szCs w:val="22"/>
          <w:lang w:val="en-US" w:eastAsia="en-GB"/>
        </w:rPr>
        <w:t>.</w:t>
      </w:r>
      <w:r w:rsidRPr="003869C1">
        <w:rPr>
          <w:szCs w:val="22"/>
          <w:lang w:val="en-US" w:eastAsia="en-GB"/>
        </w:rPr>
        <w:t xml:space="preserve"> </w:t>
      </w:r>
      <w:r w:rsidR="008128D1" w:rsidRPr="003869C1">
        <w:rPr>
          <w:szCs w:val="22"/>
          <w:lang w:val="en-US" w:eastAsia="en-GB"/>
        </w:rPr>
        <w:t xml:space="preserve">This latter problem is </w:t>
      </w:r>
      <w:r w:rsidRPr="003869C1">
        <w:rPr>
          <w:szCs w:val="22"/>
          <w:lang w:val="en-US" w:eastAsia="en-GB"/>
        </w:rPr>
        <w:t xml:space="preserve">found mainly </w:t>
      </w:r>
      <w:r w:rsidR="00813E75" w:rsidRPr="003869C1">
        <w:rPr>
          <w:szCs w:val="22"/>
          <w:lang w:val="en-US" w:eastAsia="en-GB"/>
        </w:rPr>
        <w:t>amongst</w:t>
      </w:r>
      <w:r w:rsidRPr="003869C1">
        <w:rPr>
          <w:szCs w:val="22"/>
          <w:lang w:val="en-US" w:eastAsia="en-GB"/>
        </w:rPr>
        <w:t xml:space="preserve"> </w:t>
      </w:r>
      <w:r w:rsidR="00187091" w:rsidRPr="003869C1">
        <w:rPr>
          <w:szCs w:val="22"/>
          <w:lang w:val="en-US" w:eastAsia="en-GB"/>
        </w:rPr>
        <w:t xml:space="preserve">very </w:t>
      </w:r>
      <w:r w:rsidRPr="003869C1">
        <w:rPr>
          <w:szCs w:val="22"/>
          <w:lang w:val="en-US" w:eastAsia="en-GB"/>
        </w:rPr>
        <w:t>small employment agencies</w:t>
      </w:r>
      <w:r w:rsidR="00187091" w:rsidRPr="003869C1">
        <w:rPr>
          <w:szCs w:val="22"/>
          <w:lang w:val="en-US" w:eastAsia="en-GB"/>
        </w:rPr>
        <w:t xml:space="preserve">, which may only </w:t>
      </w:r>
      <w:r w:rsidR="00FC4D13">
        <w:rPr>
          <w:szCs w:val="22"/>
          <w:lang w:val="en-US" w:eastAsia="en-GB"/>
        </w:rPr>
        <w:t xml:space="preserve">consist of </w:t>
      </w:r>
      <w:r w:rsidR="00187091" w:rsidRPr="003869C1">
        <w:rPr>
          <w:szCs w:val="22"/>
          <w:lang w:val="en-US" w:eastAsia="en-GB"/>
        </w:rPr>
        <w:t>one staff member with a mobile phone</w:t>
      </w:r>
      <w:r w:rsidR="005A2B6B">
        <w:rPr>
          <w:szCs w:val="22"/>
          <w:lang w:val="en-US" w:eastAsia="en-GB"/>
        </w:rPr>
        <w:t>.</w:t>
      </w:r>
    </w:p>
    <w:p w:rsidR="00554371" w:rsidRPr="003869C1" w:rsidRDefault="0011179F" w:rsidP="00FA3539">
      <w:pPr>
        <w:pStyle w:val="T5TextBody"/>
        <w:spacing w:line="276" w:lineRule="auto"/>
        <w:rPr>
          <w:szCs w:val="22"/>
          <w:lang w:val="en-US" w:eastAsia="en-GB"/>
        </w:rPr>
      </w:pPr>
      <w:r w:rsidRPr="003869C1">
        <w:rPr>
          <w:szCs w:val="22"/>
          <w:lang w:val="en-US" w:eastAsia="en-GB"/>
        </w:rPr>
        <w:t xml:space="preserve">There is also still concern  </w:t>
      </w:r>
      <w:r w:rsidR="00E87812" w:rsidRPr="003869C1">
        <w:rPr>
          <w:szCs w:val="22"/>
          <w:lang w:val="en-US" w:eastAsia="en-GB"/>
        </w:rPr>
        <w:t xml:space="preserve">that </w:t>
      </w:r>
      <w:r w:rsidR="0027794F" w:rsidRPr="003869C1">
        <w:rPr>
          <w:szCs w:val="22"/>
          <w:lang w:val="en-US" w:eastAsia="en-GB"/>
        </w:rPr>
        <w:t>workers</w:t>
      </w:r>
      <w:r w:rsidR="00E87812" w:rsidRPr="003869C1">
        <w:rPr>
          <w:szCs w:val="22"/>
          <w:lang w:val="en-US" w:eastAsia="en-GB"/>
        </w:rPr>
        <w:t xml:space="preserve"> a</w:t>
      </w:r>
      <w:r w:rsidR="00D83E9A" w:rsidRPr="003869C1">
        <w:rPr>
          <w:szCs w:val="22"/>
          <w:lang w:val="en-US" w:eastAsia="en-GB"/>
        </w:rPr>
        <w:t xml:space="preserve">re </w:t>
      </w:r>
      <w:r w:rsidR="0027794F" w:rsidRPr="003869C1">
        <w:rPr>
          <w:szCs w:val="22"/>
          <w:lang w:val="en-US" w:eastAsia="en-GB"/>
        </w:rPr>
        <w:t>wrongly</w:t>
      </w:r>
      <w:r w:rsidR="00D83E9A" w:rsidRPr="003869C1">
        <w:rPr>
          <w:szCs w:val="22"/>
          <w:lang w:val="en-US" w:eastAsia="en-GB"/>
        </w:rPr>
        <w:t xml:space="preserve"> being </w:t>
      </w:r>
      <w:r w:rsidR="0027794F" w:rsidRPr="003869C1">
        <w:rPr>
          <w:szCs w:val="22"/>
          <w:lang w:val="en-US" w:eastAsia="en-GB"/>
        </w:rPr>
        <w:t>denied</w:t>
      </w:r>
      <w:r w:rsidR="00D83E9A" w:rsidRPr="003869C1">
        <w:rPr>
          <w:szCs w:val="22"/>
          <w:lang w:val="en-US" w:eastAsia="en-GB"/>
        </w:rPr>
        <w:t xml:space="preserve"> their true employment status by employers </w:t>
      </w:r>
      <w:r w:rsidRPr="003869C1">
        <w:rPr>
          <w:szCs w:val="22"/>
          <w:lang w:val="en-US" w:eastAsia="en-GB"/>
        </w:rPr>
        <w:t xml:space="preserve"> in </w:t>
      </w:r>
      <w:r w:rsidR="00813E75" w:rsidRPr="003869C1">
        <w:rPr>
          <w:szCs w:val="22"/>
          <w:lang w:val="en-US" w:eastAsia="en-GB"/>
        </w:rPr>
        <w:t>order</w:t>
      </w:r>
      <w:r w:rsidRPr="003869C1">
        <w:rPr>
          <w:szCs w:val="22"/>
          <w:lang w:val="en-US" w:eastAsia="en-GB"/>
        </w:rPr>
        <w:t xml:space="preserve"> to </w:t>
      </w:r>
      <w:r w:rsidR="00813E75" w:rsidRPr="003869C1">
        <w:rPr>
          <w:szCs w:val="22"/>
          <w:lang w:val="en-US" w:eastAsia="en-GB"/>
        </w:rPr>
        <w:t>try</w:t>
      </w:r>
      <w:r w:rsidRPr="003869C1">
        <w:rPr>
          <w:szCs w:val="22"/>
          <w:lang w:val="en-US" w:eastAsia="en-GB"/>
        </w:rPr>
        <w:t xml:space="preserve"> to avoid the </w:t>
      </w:r>
      <w:r w:rsidR="00813E75" w:rsidRPr="003869C1">
        <w:rPr>
          <w:szCs w:val="22"/>
          <w:lang w:val="en-US" w:eastAsia="en-GB"/>
        </w:rPr>
        <w:t>minimum</w:t>
      </w:r>
      <w:r w:rsidRPr="003869C1">
        <w:rPr>
          <w:szCs w:val="22"/>
          <w:lang w:val="en-US" w:eastAsia="en-GB"/>
        </w:rPr>
        <w:t xml:space="preserve"> wage and other </w:t>
      </w:r>
      <w:r w:rsidR="00813E75" w:rsidRPr="003869C1">
        <w:rPr>
          <w:szCs w:val="22"/>
          <w:lang w:val="en-US" w:eastAsia="en-GB"/>
        </w:rPr>
        <w:t>employment</w:t>
      </w:r>
      <w:r w:rsidRPr="003869C1">
        <w:rPr>
          <w:szCs w:val="22"/>
          <w:lang w:val="en-US" w:eastAsia="en-GB"/>
        </w:rPr>
        <w:t xml:space="preserve"> rights. There are still too many unpaid interns</w:t>
      </w:r>
      <w:r w:rsidR="00554371" w:rsidRPr="003869C1">
        <w:rPr>
          <w:szCs w:val="22"/>
          <w:lang w:val="en-US" w:eastAsia="en-GB"/>
        </w:rPr>
        <w:t>,</w:t>
      </w:r>
      <w:r w:rsidRPr="003869C1">
        <w:rPr>
          <w:szCs w:val="22"/>
          <w:lang w:val="en-US" w:eastAsia="en-GB"/>
        </w:rPr>
        <w:t xml:space="preserve"> but </w:t>
      </w:r>
      <w:r w:rsidR="00813E75" w:rsidRPr="003869C1">
        <w:rPr>
          <w:szCs w:val="22"/>
          <w:lang w:val="en-US" w:eastAsia="en-GB"/>
        </w:rPr>
        <w:t>it</w:t>
      </w:r>
      <w:r w:rsidRPr="003869C1">
        <w:rPr>
          <w:szCs w:val="22"/>
          <w:lang w:val="en-US" w:eastAsia="en-GB"/>
        </w:rPr>
        <w:t xml:space="preserve"> seems that the rapid </w:t>
      </w:r>
      <w:r w:rsidR="00813E75" w:rsidRPr="003869C1">
        <w:rPr>
          <w:szCs w:val="22"/>
          <w:lang w:val="en-US" w:eastAsia="en-GB"/>
        </w:rPr>
        <w:t>expansion</w:t>
      </w:r>
      <w:r w:rsidRPr="003869C1">
        <w:rPr>
          <w:szCs w:val="22"/>
          <w:lang w:val="en-US" w:eastAsia="en-GB"/>
        </w:rPr>
        <w:t xml:space="preserve"> of this </w:t>
      </w:r>
      <w:r w:rsidR="00813E75" w:rsidRPr="003869C1">
        <w:rPr>
          <w:szCs w:val="22"/>
          <w:lang w:val="en-US" w:eastAsia="en-GB"/>
        </w:rPr>
        <w:t>type</w:t>
      </w:r>
      <w:r w:rsidRPr="003869C1">
        <w:rPr>
          <w:szCs w:val="22"/>
          <w:lang w:val="en-US" w:eastAsia="en-GB"/>
        </w:rPr>
        <w:t xml:space="preserve"> of work has </w:t>
      </w:r>
      <w:r w:rsidR="00813E75" w:rsidRPr="003869C1">
        <w:rPr>
          <w:szCs w:val="22"/>
          <w:lang w:val="en-US" w:eastAsia="en-GB"/>
        </w:rPr>
        <w:t>slowed</w:t>
      </w:r>
      <w:r w:rsidRPr="003869C1">
        <w:rPr>
          <w:szCs w:val="22"/>
          <w:lang w:val="en-US" w:eastAsia="en-GB"/>
        </w:rPr>
        <w:t xml:space="preserve">, no doubt </w:t>
      </w:r>
      <w:r w:rsidR="00813E75" w:rsidRPr="003869C1">
        <w:rPr>
          <w:szCs w:val="22"/>
          <w:lang w:val="en-US" w:eastAsia="en-GB"/>
        </w:rPr>
        <w:t>driven</w:t>
      </w:r>
      <w:r w:rsidRPr="003869C1">
        <w:rPr>
          <w:szCs w:val="22"/>
          <w:lang w:val="en-US" w:eastAsia="en-GB"/>
        </w:rPr>
        <w:t xml:space="preserve"> both by bad publicity and the recovering labour market. </w:t>
      </w:r>
      <w:r w:rsidR="00813E75" w:rsidRPr="003869C1">
        <w:rPr>
          <w:szCs w:val="22"/>
          <w:lang w:val="en-US" w:eastAsia="en-GB"/>
        </w:rPr>
        <w:t>There</w:t>
      </w:r>
      <w:r w:rsidR="00554371" w:rsidRPr="003869C1">
        <w:rPr>
          <w:szCs w:val="22"/>
          <w:lang w:val="en-US" w:eastAsia="en-GB"/>
        </w:rPr>
        <w:t xml:space="preserve"> are, however, for the </w:t>
      </w:r>
      <w:r w:rsidR="00813E75" w:rsidRPr="003869C1">
        <w:rPr>
          <w:szCs w:val="22"/>
          <w:lang w:val="en-US" w:eastAsia="en-GB"/>
        </w:rPr>
        <w:t>first</w:t>
      </w:r>
      <w:r w:rsidR="00554371" w:rsidRPr="003869C1">
        <w:rPr>
          <w:szCs w:val="22"/>
          <w:lang w:val="en-US" w:eastAsia="en-GB"/>
        </w:rPr>
        <w:t xml:space="preserve"> time now</w:t>
      </w:r>
      <w:r w:rsidR="005A2B6B">
        <w:rPr>
          <w:szCs w:val="22"/>
          <w:lang w:val="en-US" w:eastAsia="en-GB"/>
        </w:rPr>
        <w:t>,</w:t>
      </w:r>
      <w:r w:rsidR="00554371" w:rsidRPr="003869C1">
        <w:rPr>
          <w:szCs w:val="22"/>
          <w:lang w:val="en-US" w:eastAsia="en-GB"/>
        </w:rPr>
        <w:t xml:space="preserve"> also some “</w:t>
      </w:r>
      <w:r w:rsidR="00813E75" w:rsidRPr="003869C1">
        <w:rPr>
          <w:szCs w:val="22"/>
          <w:lang w:val="en-US" w:eastAsia="en-GB"/>
        </w:rPr>
        <w:t>commission</w:t>
      </w:r>
      <w:r w:rsidR="00554371" w:rsidRPr="003869C1">
        <w:rPr>
          <w:szCs w:val="22"/>
          <w:lang w:val="en-US" w:eastAsia="en-GB"/>
        </w:rPr>
        <w:t xml:space="preserve"> </w:t>
      </w:r>
      <w:r w:rsidR="00813E75" w:rsidRPr="003869C1">
        <w:rPr>
          <w:szCs w:val="22"/>
          <w:lang w:val="en-US" w:eastAsia="en-GB"/>
        </w:rPr>
        <w:t>only</w:t>
      </w:r>
      <w:r w:rsidR="00187091" w:rsidRPr="003869C1">
        <w:rPr>
          <w:szCs w:val="22"/>
          <w:lang w:val="en-US" w:eastAsia="en-GB"/>
        </w:rPr>
        <w:t>”</w:t>
      </w:r>
      <w:r w:rsidR="00554371" w:rsidRPr="003869C1">
        <w:rPr>
          <w:szCs w:val="22"/>
          <w:lang w:val="en-US" w:eastAsia="en-GB"/>
        </w:rPr>
        <w:t xml:space="preserve"> i</w:t>
      </w:r>
      <w:r w:rsidRPr="003869C1">
        <w:rPr>
          <w:szCs w:val="22"/>
          <w:lang w:val="en-US" w:eastAsia="en-GB"/>
        </w:rPr>
        <w:t>n</w:t>
      </w:r>
      <w:r w:rsidR="00554371" w:rsidRPr="003869C1">
        <w:rPr>
          <w:szCs w:val="22"/>
          <w:lang w:val="en-US" w:eastAsia="en-GB"/>
        </w:rPr>
        <w:t xml:space="preserve">tern </w:t>
      </w:r>
      <w:r w:rsidR="00813E75" w:rsidRPr="003869C1">
        <w:rPr>
          <w:szCs w:val="22"/>
          <w:lang w:val="en-US" w:eastAsia="en-GB"/>
        </w:rPr>
        <w:t>posts</w:t>
      </w:r>
      <w:r w:rsidR="00554371" w:rsidRPr="003869C1">
        <w:rPr>
          <w:szCs w:val="22"/>
          <w:lang w:val="en-US" w:eastAsia="en-GB"/>
        </w:rPr>
        <w:t xml:space="preserve"> on offer</w:t>
      </w:r>
      <w:r w:rsidR="00554371" w:rsidRPr="003869C1">
        <w:rPr>
          <w:rStyle w:val="FootnoteReference"/>
          <w:sz w:val="22"/>
          <w:szCs w:val="22"/>
          <w:lang w:val="en-US" w:eastAsia="en-GB"/>
        </w:rPr>
        <w:footnoteReference w:id="56"/>
      </w:r>
      <w:r w:rsidR="00187091" w:rsidRPr="003869C1">
        <w:rPr>
          <w:szCs w:val="22"/>
          <w:lang w:val="en-US" w:eastAsia="en-GB"/>
        </w:rPr>
        <w:t>.</w:t>
      </w:r>
    </w:p>
    <w:p w:rsidR="007D27FE" w:rsidRPr="003869C1" w:rsidRDefault="00813E75" w:rsidP="00FA3539">
      <w:pPr>
        <w:pStyle w:val="T5TextBody"/>
        <w:spacing w:line="276" w:lineRule="auto"/>
        <w:rPr>
          <w:szCs w:val="22"/>
          <w:lang w:val="en-US" w:eastAsia="en-GB"/>
        </w:rPr>
      </w:pPr>
      <w:r w:rsidRPr="003869C1">
        <w:rPr>
          <w:szCs w:val="22"/>
          <w:lang w:val="en-US" w:eastAsia="en-GB"/>
        </w:rPr>
        <w:t xml:space="preserve">The rise of bogus “volunteer” jobs seems to have continued, including in </w:t>
      </w:r>
      <w:r w:rsidR="00187091" w:rsidRPr="003869C1">
        <w:rPr>
          <w:szCs w:val="22"/>
          <w:lang w:val="en-US" w:eastAsia="en-GB"/>
        </w:rPr>
        <w:t xml:space="preserve">the </w:t>
      </w:r>
      <w:r w:rsidRPr="003869C1">
        <w:rPr>
          <w:szCs w:val="22"/>
          <w:lang w:val="en-US" w:eastAsia="en-GB"/>
        </w:rPr>
        <w:t xml:space="preserve">private sector as well as the public and charity sectors, where such jobs are particularly common. </w:t>
      </w:r>
      <w:r w:rsidR="0011179F" w:rsidRPr="003869C1">
        <w:rPr>
          <w:szCs w:val="22"/>
          <w:lang w:val="en-US" w:eastAsia="en-GB"/>
        </w:rPr>
        <w:t>Ther</w:t>
      </w:r>
      <w:r w:rsidR="00403C8B" w:rsidRPr="003869C1">
        <w:rPr>
          <w:szCs w:val="22"/>
          <w:lang w:val="en-US" w:eastAsia="en-GB"/>
        </w:rPr>
        <w:t>e</w:t>
      </w:r>
      <w:r w:rsidR="0011179F" w:rsidRPr="003869C1">
        <w:rPr>
          <w:szCs w:val="22"/>
          <w:lang w:val="en-US" w:eastAsia="en-GB"/>
        </w:rPr>
        <w:t xml:space="preserve"> is </w:t>
      </w:r>
      <w:r w:rsidRPr="003869C1">
        <w:rPr>
          <w:szCs w:val="22"/>
          <w:lang w:val="en-US" w:eastAsia="en-GB"/>
        </w:rPr>
        <w:t>also</w:t>
      </w:r>
      <w:r w:rsidR="0011179F" w:rsidRPr="003869C1">
        <w:rPr>
          <w:szCs w:val="22"/>
          <w:lang w:val="en-US" w:eastAsia="en-GB"/>
        </w:rPr>
        <w:t xml:space="preserve"> still plenty of </w:t>
      </w:r>
      <w:r w:rsidR="00403C8B" w:rsidRPr="003869C1">
        <w:rPr>
          <w:szCs w:val="22"/>
          <w:lang w:val="en-US" w:eastAsia="en-GB"/>
        </w:rPr>
        <w:t xml:space="preserve">low paid </w:t>
      </w:r>
      <w:r w:rsidR="00187091" w:rsidRPr="003869C1">
        <w:rPr>
          <w:szCs w:val="22"/>
          <w:lang w:val="en-US" w:eastAsia="en-GB"/>
        </w:rPr>
        <w:t xml:space="preserve">false </w:t>
      </w:r>
      <w:r w:rsidRPr="003869C1">
        <w:rPr>
          <w:szCs w:val="22"/>
          <w:lang w:val="en-US" w:eastAsia="en-GB"/>
        </w:rPr>
        <w:t>self-employment</w:t>
      </w:r>
      <w:r w:rsidR="00403C8B" w:rsidRPr="003869C1">
        <w:rPr>
          <w:szCs w:val="22"/>
          <w:lang w:val="en-US" w:eastAsia="en-GB"/>
        </w:rPr>
        <w:t xml:space="preserve"> to be found, in </w:t>
      </w:r>
      <w:r w:rsidRPr="003869C1">
        <w:rPr>
          <w:szCs w:val="22"/>
          <w:lang w:val="en-US" w:eastAsia="en-GB"/>
        </w:rPr>
        <w:t>occupations</w:t>
      </w:r>
      <w:r w:rsidR="00403C8B" w:rsidRPr="003869C1">
        <w:rPr>
          <w:szCs w:val="22"/>
          <w:lang w:val="en-US" w:eastAsia="en-GB"/>
        </w:rPr>
        <w:t xml:space="preserve"> as diverse as cleaning, car washing and couriering</w:t>
      </w:r>
      <w:r w:rsidR="0011179F" w:rsidRPr="003869C1">
        <w:rPr>
          <w:szCs w:val="22"/>
          <w:lang w:val="en-US" w:eastAsia="en-GB"/>
        </w:rPr>
        <w:t>.</w:t>
      </w:r>
    </w:p>
    <w:p w:rsidR="00FA3539" w:rsidRPr="003869C1" w:rsidRDefault="00FA3539" w:rsidP="00FA3539">
      <w:pPr>
        <w:pStyle w:val="T5TextBody"/>
        <w:spacing w:line="276" w:lineRule="auto"/>
        <w:rPr>
          <w:szCs w:val="22"/>
          <w:lang w:val="en-US" w:eastAsia="en-GB"/>
        </w:rPr>
      </w:pPr>
      <w:r w:rsidRPr="003869C1">
        <w:rPr>
          <w:szCs w:val="22"/>
          <w:lang w:val="en-US" w:eastAsia="en-GB"/>
        </w:rPr>
        <w:t xml:space="preserve">In addition, a substantial minority of companies are actively looking for ways to avoid paying the NMW, including </w:t>
      </w:r>
      <w:r w:rsidR="00187091" w:rsidRPr="003869C1">
        <w:rPr>
          <w:szCs w:val="22"/>
          <w:lang w:val="en-US" w:eastAsia="en-GB"/>
        </w:rPr>
        <w:t xml:space="preserve">false </w:t>
      </w:r>
      <w:r w:rsidRPr="003869C1">
        <w:rPr>
          <w:szCs w:val="22"/>
          <w:lang w:val="en-US" w:eastAsia="en-GB"/>
        </w:rPr>
        <w:t xml:space="preserve">self-employment, misusing piece rates, adopting zero hours contracts, making improper deductions for tools and travel and so on.  </w:t>
      </w:r>
    </w:p>
    <w:p w:rsidR="00FA3539" w:rsidRPr="003869C1" w:rsidRDefault="00FA3539" w:rsidP="00FA3539">
      <w:pPr>
        <w:pStyle w:val="T5TextBody"/>
        <w:spacing w:line="276" w:lineRule="auto"/>
        <w:rPr>
          <w:szCs w:val="22"/>
          <w:lang w:val="en-US" w:eastAsia="en-GB"/>
        </w:rPr>
      </w:pPr>
      <w:r w:rsidRPr="003869C1">
        <w:rPr>
          <w:szCs w:val="22"/>
          <w:lang w:val="en-US" w:eastAsia="en-GB"/>
        </w:rPr>
        <w:lastRenderedPageBreak/>
        <w:t>Umbrella companies</w:t>
      </w:r>
      <w:r w:rsidR="009D57B3" w:rsidRPr="003869C1">
        <w:rPr>
          <w:szCs w:val="22"/>
          <w:lang w:val="en-US" w:eastAsia="en-GB"/>
        </w:rPr>
        <w:t xml:space="preserve"> are also still causing concern</w:t>
      </w:r>
      <w:r w:rsidRPr="003869C1">
        <w:rPr>
          <w:szCs w:val="22"/>
          <w:lang w:val="en-US" w:eastAsia="en-GB"/>
        </w:rPr>
        <w:t>.</w:t>
      </w:r>
      <w:r w:rsidR="009D57B3" w:rsidRPr="003869C1">
        <w:rPr>
          <w:szCs w:val="22"/>
          <w:lang w:val="en-US" w:eastAsia="en-GB"/>
        </w:rPr>
        <w:t xml:space="preserve"> These arms length companies take on many of the functions of the </w:t>
      </w:r>
      <w:r w:rsidR="00813E75" w:rsidRPr="003869C1">
        <w:rPr>
          <w:szCs w:val="22"/>
          <w:lang w:val="en-US" w:eastAsia="en-GB"/>
        </w:rPr>
        <w:t>employer</w:t>
      </w:r>
    </w:p>
    <w:p w:rsidR="00187091" w:rsidRPr="003869C1" w:rsidRDefault="00B97B0A" w:rsidP="00FA3539">
      <w:pPr>
        <w:spacing w:line="276" w:lineRule="auto"/>
        <w:rPr>
          <w:rFonts w:ascii="Sabon" w:hAnsi="Sabon" w:cs="Arial"/>
          <w:sz w:val="22"/>
          <w:szCs w:val="22"/>
        </w:rPr>
      </w:pPr>
      <w:r w:rsidRPr="003869C1">
        <w:rPr>
          <w:rFonts w:ascii="Sabon" w:hAnsi="Sabon"/>
          <w:sz w:val="22"/>
          <w:szCs w:val="22"/>
          <w:lang w:val="en-US" w:eastAsia="en-GB"/>
        </w:rPr>
        <w:t>Furthermore</w:t>
      </w:r>
      <w:r w:rsidR="00FA3539" w:rsidRPr="003869C1">
        <w:rPr>
          <w:rFonts w:ascii="Sabon" w:hAnsi="Sabon"/>
          <w:sz w:val="22"/>
          <w:szCs w:val="22"/>
          <w:lang w:val="en-US" w:eastAsia="en-GB"/>
        </w:rPr>
        <w:t xml:space="preserve">, the problem of the inappropriate </w:t>
      </w:r>
      <w:r w:rsidR="009D57B3" w:rsidRPr="003869C1">
        <w:rPr>
          <w:rFonts w:ascii="Sabon" w:hAnsi="Sabon"/>
          <w:sz w:val="22"/>
          <w:szCs w:val="22"/>
          <w:lang w:val="en-US" w:eastAsia="en-GB"/>
        </w:rPr>
        <w:t xml:space="preserve">expectation </w:t>
      </w:r>
      <w:r w:rsidR="00FA3539" w:rsidRPr="003869C1">
        <w:rPr>
          <w:rFonts w:ascii="Sabon" w:hAnsi="Sabon"/>
          <w:sz w:val="22"/>
          <w:szCs w:val="22"/>
          <w:lang w:val="en-US" w:eastAsia="en-GB"/>
        </w:rPr>
        <w:t xml:space="preserve">of </w:t>
      </w:r>
      <w:r w:rsidR="00FA3539" w:rsidRPr="003869C1">
        <w:rPr>
          <w:rFonts w:ascii="Sabon" w:hAnsi="Sabon" w:cs="Arial"/>
          <w:sz w:val="22"/>
          <w:szCs w:val="22"/>
        </w:rPr>
        <w:t xml:space="preserve">free work continues in broadcasting, the performing arts, and some other sectors. </w:t>
      </w:r>
    </w:p>
    <w:p w:rsidR="00B97B0A" w:rsidRPr="003869C1" w:rsidRDefault="00B97B0A" w:rsidP="00187091">
      <w:pPr>
        <w:spacing w:line="276" w:lineRule="auto"/>
        <w:rPr>
          <w:rFonts w:ascii="Sabon" w:hAnsi="Sabon" w:cs="Arial"/>
          <w:sz w:val="22"/>
          <w:szCs w:val="22"/>
        </w:rPr>
      </w:pPr>
    </w:p>
    <w:p w:rsidR="00187091" w:rsidRDefault="00187091" w:rsidP="00187091">
      <w:pPr>
        <w:spacing w:line="276" w:lineRule="auto"/>
        <w:rPr>
          <w:rFonts w:ascii="Sabon" w:hAnsi="Sabon" w:cs="Arial"/>
          <w:sz w:val="22"/>
          <w:szCs w:val="22"/>
        </w:rPr>
      </w:pPr>
      <w:r w:rsidRPr="003869C1">
        <w:rPr>
          <w:rFonts w:ascii="Sabon" w:hAnsi="Sabon" w:cs="Arial"/>
          <w:sz w:val="22"/>
          <w:szCs w:val="22"/>
        </w:rPr>
        <w:t xml:space="preserve">But perhaps the biggest change in recent years has been the rapid spread of zero hours contracts, which the TUC believes should be brought under much tighter legal control. Whilst such arrangements are not inherently illegal, they have been used as means to facilitate illegal behaviour. </w:t>
      </w:r>
    </w:p>
    <w:p w:rsidR="00613A7C" w:rsidRDefault="00613A7C" w:rsidP="00613A7C">
      <w:pPr>
        <w:pStyle w:val="NoSpacing"/>
        <w:jc w:val="both"/>
        <w:rPr>
          <w:color w:val="000000"/>
        </w:rPr>
      </w:pPr>
    </w:p>
    <w:p w:rsidR="00F20CB0" w:rsidRPr="00FC4D13" w:rsidRDefault="00613A7C" w:rsidP="00FC4D13">
      <w:pPr>
        <w:pStyle w:val="NoSpacing"/>
        <w:spacing w:line="276" w:lineRule="auto"/>
        <w:rPr>
          <w:rFonts w:ascii="Sabon" w:hAnsi="Sabon"/>
        </w:rPr>
      </w:pPr>
      <w:r w:rsidRPr="00FC4D13">
        <w:rPr>
          <w:rFonts w:ascii="Sabon" w:hAnsi="Sabon"/>
          <w:color w:val="000000"/>
        </w:rPr>
        <w:t>The Government has also noted that zero hours contracts exacerbate non-payment of the NMW</w:t>
      </w:r>
      <w:r w:rsidR="004E470A" w:rsidRPr="00FC4D13">
        <w:rPr>
          <w:rFonts w:ascii="Sabon" w:hAnsi="Sabon"/>
          <w:color w:val="000000"/>
        </w:rPr>
        <w:t xml:space="preserve"> in social care</w:t>
      </w:r>
      <w:r w:rsidRPr="00FC4D13">
        <w:rPr>
          <w:rFonts w:ascii="Sabon" w:hAnsi="Sabon"/>
          <w:color w:val="000000"/>
        </w:rPr>
        <w:t>. I</w:t>
      </w:r>
      <w:r w:rsidRPr="00FC4D13">
        <w:rPr>
          <w:rFonts w:ascii="Sabon" w:hAnsi="Sabon"/>
        </w:rPr>
        <w:t xml:space="preserve">n a response to a question by Anne McIntosh MP expressing concern about care workers being employed on zero-hours contracts, the Secretary of State for Business Innovation and Skills </w:t>
      </w:r>
      <w:r w:rsidR="004E470A" w:rsidRPr="00FC4D13">
        <w:rPr>
          <w:rFonts w:ascii="Sabon" w:hAnsi="Sabon"/>
        </w:rPr>
        <w:t>said that</w:t>
      </w:r>
      <w:r w:rsidRPr="00FC4D13">
        <w:rPr>
          <w:rFonts w:ascii="Sabon" w:hAnsi="Sabon"/>
        </w:rPr>
        <w:t>:</w:t>
      </w:r>
    </w:p>
    <w:p w:rsidR="00F20CB0" w:rsidRPr="00FC4D13" w:rsidRDefault="00F20CB0" w:rsidP="00FC4D13">
      <w:pPr>
        <w:pStyle w:val="NoSpacing"/>
        <w:spacing w:line="276" w:lineRule="auto"/>
        <w:rPr>
          <w:rFonts w:ascii="Sabon" w:hAnsi="Sabon"/>
        </w:rPr>
      </w:pPr>
    </w:p>
    <w:p w:rsidR="00613A7C" w:rsidRPr="00FC4D13" w:rsidRDefault="00613A7C" w:rsidP="00FC4D13">
      <w:pPr>
        <w:spacing w:line="276" w:lineRule="auto"/>
        <w:rPr>
          <w:rFonts w:ascii="Sabon" w:hAnsi="Sabon"/>
          <w:sz w:val="22"/>
          <w:szCs w:val="22"/>
        </w:rPr>
      </w:pPr>
      <w:r w:rsidRPr="00FC4D13">
        <w:rPr>
          <w:rFonts w:ascii="Sabon" w:hAnsi="Sabon"/>
          <w:sz w:val="22"/>
          <w:szCs w:val="22"/>
        </w:rPr>
        <w:t>“</w:t>
      </w:r>
      <w:r w:rsidRPr="00FC4D13">
        <w:rPr>
          <w:rFonts w:ascii="Sabon" w:hAnsi="Sabon"/>
          <w:i/>
          <w:iCs/>
          <w:sz w:val="22"/>
          <w:szCs w:val="22"/>
        </w:rPr>
        <w:t xml:space="preserve">The problem with domiciliary care is that there is almost certainly </w:t>
      </w:r>
      <w:r w:rsidR="00796177" w:rsidRPr="00FC4D13">
        <w:rPr>
          <w:rFonts w:ascii="Sabon" w:hAnsi="Sabon"/>
          <w:i/>
          <w:iCs/>
          <w:sz w:val="22"/>
          <w:szCs w:val="22"/>
        </w:rPr>
        <w:t>avoidance</w:t>
      </w:r>
      <w:r w:rsidRPr="00FC4D13">
        <w:rPr>
          <w:rFonts w:ascii="Sabon" w:hAnsi="Sabon"/>
          <w:i/>
          <w:iCs/>
          <w:sz w:val="22"/>
          <w:szCs w:val="22"/>
        </w:rPr>
        <w:t xml:space="preserve"> by companies to pay the minimum wage, and that overlaps with the problem of zero-hours contracts. We recognise that there are some very specific problems for workers in that sector</w:t>
      </w:r>
      <w:r w:rsidRPr="00FC4D13">
        <w:rPr>
          <w:rFonts w:ascii="Sabon" w:hAnsi="Sabon"/>
          <w:sz w:val="22"/>
          <w:szCs w:val="22"/>
        </w:rPr>
        <w:t>.”</w:t>
      </w:r>
      <w:r w:rsidR="004E470A" w:rsidRPr="00FC4D13">
        <w:rPr>
          <w:rStyle w:val="FootnoteReference"/>
          <w:rFonts w:ascii="Sabon" w:hAnsi="Sabon"/>
          <w:sz w:val="22"/>
          <w:szCs w:val="22"/>
        </w:rPr>
        <w:footnoteReference w:id="57"/>
      </w:r>
      <w:r w:rsidRPr="00FC4D13">
        <w:rPr>
          <w:rFonts w:ascii="Sabon" w:hAnsi="Sabon"/>
          <w:sz w:val="22"/>
          <w:szCs w:val="22"/>
        </w:rPr>
        <w:t xml:space="preserve"> </w:t>
      </w:r>
    </w:p>
    <w:p w:rsidR="00613A7C" w:rsidRPr="003869C1" w:rsidRDefault="00613A7C" w:rsidP="00187091">
      <w:pPr>
        <w:spacing w:line="276" w:lineRule="auto"/>
        <w:rPr>
          <w:rFonts w:ascii="Sabon" w:hAnsi="Sabon" w:cs="Arial"/>
          <w:sz w:val="22"/>
          <w:szCs w:val="22"/>
        </w:rPr>
      </w:pPr>
    </w:p>
    <w:p w:rsidR="00F7737D" w:rsidRDefault="004070B4" w:rsidP="00FA3539">
      <w:pPr>
        <w:spacing w:line="276" w:lineRule="auto"/>
        <w:rPr>
          <w:rFonts w:ascii="Sabon" w:hAnsi="Sabon" w:cs="Arial"/>
          <w:sz w:val="22"/>
          <w:szCs w:val="22"/>
        </w:rPr>
      </w:pPr>
      <w:r w:rsidRPr="003869C1">
        <w:rPr>
          <w:rFonts w:ascii="Sabon" w:hAnsi="Sabon" w:cs="Arial"/>
          <w:sz w:val="22"/>
          <w:szCs w:val="22"/>
        </w:rPr>
        <w:t xml:space="preserve">As widely </w:t>
      </w:r>
      <w:r w:rsidR="00813E75" w:rsidRPr="003869C1">
        <w:rPr>
          <w:rFonts w:ascii="Sabon" w:hAnsi="Sabon" w:cs="Arial"/>
          <w:sz w:val="22"/>
          <w:szCs w:val="22"/>
        </w:rPr>
        <w:t>reported</w:t>
      </w:r>
      <w:r w:rsidRPr="003869C1">
        <w:rPr>
          <w:rFonts w:ascii="Sabon" w:hAnsi="Sabon" w:cs="Arial"/>
          <w:sz w:val="22"/>
          <w:szCs w:val="22"/>
        </w:rPr>
        <w:t xml:space="preserve">, there </w:t>
      </w:r>
      <w:r w:rsidR="00813E75" w:rsidRPr="003869C1">
        <w:rPr>
          <w:rFonts w:ascii="Sabon" w:hAnsi="Sabon" w:cs="Arial"/>
          <w:sz w:val="22"/>
          <w:szCs w:val="22"/>
        </w:rPr>
        <w:t>are</w:t>
      </w:r>
      <w:r w:rsidRPr="003869C1">
        <w:rPr>
          <w:rFonts w:ascii="Sabon" w:hAnsi="Sabon" w:cs="Arial"/>
          <w:sz w:val="22"/>
          <w:szCs w:val="22"/>
        </w:rPr>
        <w:t xml:space="preserve"> many mobile social care workers </w:t>
      </w:r>
      <w:r w:rsidR="00813E75" w:rsidRPr="003869C1">
        <w:rPr>
          <w:rFonts w:ascii="Sabon" w:hAnsi="Sabon" w:cs="Arial"/>
          <w:sz w:val="22"/>
          <w:szCs w:val="22"/>
        </w:rPr>
        <w:t>who</w:t>
      </w:r>
      <w:r w:rsidRPr="003869C1">
        <w:rPr>
          <w:rFonts w:ascii="Sabon" w:hAnsi="Sabon" w:cs="Arial"/>
          <w:sz w:val="22"/>
          <w:szCs w:val="22"/>
        </w:rPr>
        <w:t xml:space="preserve"> are not paid for </w:t>
      </w:r>
      <w:r w:rsidR="00813E75" w:rsidRPr="003869C1">
        <w:rPr>
          <w:rFonts w:ascii="Sabon" w:hAnsi="Sabon" w:cs="Arial"/>
          <w:sz w:val="22"/>
          <w:szCs w:val="22"/>
        </w:rPr>
        <w:t>travelling</w:t>
      </w:r>
      <w:r w:rsidRPr="003869C1">
        <w:rPr>
          <w:rFonts w:ascii="Sabon" w:hAnsi="Sabon" w:cs="Arial"/>
          <w:sz w:val="22"/>
          <w:szCs w:val="22"/>
        </w:rPr>
        <w:t xml:space="preserve"> time between </w:t>
      </w:r>
      <w:r w:rsidR="00813E75" w:rsidRPr="003869C1">
        <w:rPr>
          <w:rFonts w:ascii="Sabon" w:hAnsi="Sabon" w:cs="Arial"/>
          <w:sz w:val="22"/>
          <w:szCs w:val="22"/>
        </w:rPr>
        <w:t>clients</w:t>
      </w:r>
      <w:r w:rsidRPr="003869C1">
        <w:rPr>
          <w:rFonts w:ascii="Sabon" w:hAnsi="Sabon" w:cs="Arial"/>
          <w:sz w:val="22"/>
          <w:szCs w:val="22"/>
        </w:rPr>
        <w:t xml:space="preserve">, taking their wages below the </w:t>
      </w:r>
      <w:r w:rsidR="00813E75" w:rsidRPr="003869C1">
        <w:rPr>
          <w:rFonts w:ascii="Sabon" w:hAnsi="Sabon" w:cs="Arial"/>
          <w:sz w:val="22"/>
          <w:szCs w:val="22"/>
        </w:rPr>
        <w:t>minimum</w:t>
      </w:r>
      <w:r w:rsidRPr="003869C1">
        <w:rPr>
          <w:rFonts w:ascii="Sabon" w:hAnsi="Sabon" w:cs="Arial"/>
          <w:sz w:val="22"/>
          <w:szCs w:val="22"/>
        </w:rPr>
        <w:t xml:space="preserve"> wage</w:t>
      </w:r>
      <w:r w:rsidR="005A2B6B">
        <w:rPr>
          <w:rFonts w:ascii="Sabon" w:hAnsi="Sabon" w:cs="Arial"/>
          <w:sz w:val="22"/>
          <w:szCs w:val="22"/>
        </w:rPr>
        <w:t>, and social care remains the sector of greatest concern to the TUC</w:t>
      </w:r>
      <w:r w:rsidRPr="003869C1">
        <w:rPr>
          <w:rFonts w:ascii="Sabon" w:hAnsi="Sabon" w:cs="Arial"/>
          <w:sz w:val="22"/>
          <w:szCs w:val="22"/>
        </w:rPr>
        <w:t xml:space="preserve">. </w:t>
      </w:r>
      <w:r w:rsidR="00813E75" w:rsidRPr="003869C1">
        <w:rPr>
          <w:rFonts w:ascii="Sabon" w:hAnsi="Sabon" w:cs="Arial"/>
          <w:sz w:val="22"/>
          <w:szCs w:val="22"/>
        </w:rPr>
        <w:t xml:space="preserve">Competition to provide care is kept intense by letting contacts for individual clients </w:t>
      </w:r>
      <w:r w:rsidR="0027794F" w:rsidRPr="003869C1">
        <w:rPr>
          <w:rFonts w:ascii="Sabon" w:hAnsi="Sabon" w:cs="Arial"/>
          <w:sz w:val="22"/>
          <w:szCs w:val="22"/>
        </w:rPr>
        <w:t>on an</w:t>
      </w:r>
      <w:r w:rsidR="00D83E9A" w:rsidRPr="003869C1">
        <w:rPr>
          <w:rFonts w:ascii="Sabon" w:hAnsi="Sabon" w:cs="Arial"/>
          <w:sz w:val="22"/>
          <w:szCs w:val="22"/>
        </w:rPr>
        <w:t xml:space="preserve"> auction basis</w:t>
      </w:r>
      <w:r w:rsidR="00813E75" w:rsidRPr="003869C1">
        <w:rPr>
          <w:rFonts w:ascii="Sabon" w:hAnsi="Sabon" w:cs="Arial"/>
          <w:sz w:val="22"/>
          <w:szCs w:val="22"/>
        </w:rPr>
        <w:t xml:space="preserve">, so that half a dozen providers are asked to bid for each customer, usually without the authority doing any reality check on whether the contract prices is sufficient to meet the minimum wage.  </w:t>
      </w:r>
    </w:p>
    <w:p w:rsidR="00F7737D" w:rsidRDefault="00F7737D" w:rsidP="00FA3539">
      <w:pPr>
        <w:spacing w:line="276" w:lineRule="auto"/>
        <w:rPr>
          <w:rFonts w:ascii="Sabon" w:hAnsi="Sabon" w:cs="Arial"/>
          <w:sz w:val="22"/>
          <w:szCs w:val="22"/>
        </w:rPr>
      </w:pPr>
    </w:p>
    <w:p w:rsidR="00F20CB0" w:rsidRDefault="004C0F59">
      <w:pPr>
        <w:pStyle w:val="NoSpacing"/>
        <w:spacing w:line="276" w:lineRule="auto"/>
        <w:rPr>
          <w:rFonts w:ascii="Sabon" w:hAnsi="Sabon"/>
        </w:rPr>
      </w:pPr>
      <w:r w:rsidRPr="00F7737D">
        <w:rPr>
          <w:rFonts w:ascii="Sabon" w:hAnsi="Sabon" w:cs="Arial"/>
        </w:rPr>
        <w:t>The</w:t>
      </w:r>
      <w:r w:rsidR="00F7737D" w:rsidRPr="00F7737D">
        <w:rPr>
          <w:rFonts w:ascii="Sabon" w:hAnsi="Sabon" w:cs="Arial"/>
        </w:rPr>
        <w:t xml:space="preserve"> net result is that non-compliance is very wide-</w:t>
      </w:r>
      <w:r w:rsidRPr="00F7737D">
        <w:rPr>
          <w:rFonts w:ascii="Sabon" w:hAnsi="Sabon" w:cs="Arial"/>
        </w:rPr>
        <w:t>spread</w:t>
      </w:r>
      <w:r w:rsidR="00F7737D" w:rsidRPr="00F7737D">
        <w:rPr>
          <w:rFonts w:ascii="Sabon" w:hAnsi="Sabon" w:cs="Arial"/>
        </w:rPr>
        <w:t xml:space="preserve">. </w:t>
      </w:r>
      <w:r>
        <w:rPr>
          <w:rFonts w:ascii="Sabon" w:hAnsi="Sabon"/>
        </w:rPr>
        <w:t>I</w:t>
      </w:r>
      <w:r w:rsidR="003B4759" w:rsidRPr="003B4759">
        <w:rPr>
          <w:rFonts w:ascii="Sabon" w:hAnsi="Sabon"/>
        </w:rPr>
        <w:t xml:space="preserve">n March 2014, the National Audit Office published </w:t>
      </w:r>
      <w:r w:rsidR="003B4759" w:rsidRPr="003B4759">
        <w:rPr>
          <w:rFonts w:ascii="Sabon" w:hAnsi="Sabon"/>
          <w:i/>
          <w:iCs/>
        </w:rPr>
        <w:t xml:space="preserve">Adult Social Care in England </w:t>
      </w:r>
      <w:r w:rsidR="003B4759" w:rsidRPr="003B4759">
        <w:rPr>
          <w:rFonts w:ascii="Sabon" w:hAnsi="Sabon"/>
        </w:rPr>
        <w:t xml:space="preserve">which reported that an estimated </w:t>
      </w:r>
      <w:r w:rsidR="003B4759" w:rsidRPr="003B4759">
        <w:rPr>
          <w:rFonts w:ascii="Sabon" w:hAnsi="Sabon"/>
          <w:bCs/>
        </w:rPr>
        <w:t>160,000 - 220,000</w:t>
      </w:r>
      <w:r w:rsidR="003B4759" w:rsidRPr="003B4759">
        <w:rPr>
          <w:rFonts w:ascii="Sabon" w:hAnsi="Sabon"/>
        </w:rPr>
        <w:t xml:space="preserve"> direct care workers in England alone are paid below the National Minimum Wage (NMW) in the adult care sector</w:t>
      </w:r>
      <w:r>
        <w:rPr>
          <w:rStyle w:val="FootnoteReference"/>
          <w:rFonts w:ascii="Sabon" w:hAnsi="Sabon"/>
        </w:rPr>
        <w:footnoteReference w:id="58"/>
      </w:r>
      <w:r w:rsidR="003B4759" w:rsidRPr="003B4759">
        <w:rPr>
          <w:rFonts w:ascii="Sabon" w:hAnsi="Sabon"/>
        </w:rPr>
        <w:t>.</w:t>
      </w:r>
    </w:p>
    <w:p w:rsidR="00F20CB0" w:rsidRDefault="00F20CB0">
      <w:pPr>
        <w:pStyle w:val="NoSpacing"/>
        <w:spacing w:line="276" w:lineRule="auto"/>
        <w:rPr>
          <w:rFonts w:ascii="Sabon" w:hAnsi="Sabon"/>
        </w:rPr>
      </w:pPr>
    </w:p>
    <w:p w:rsidR="00F20CB0" w:rsidRPr="00FC4D13" w:rsidRDefault="003B4759">
      <w:pPr>
        <w:pStyle w:val="NoSpacing"/>
        <w:spacing w:line="276" w:lineRule="auto"/>
        <w:rPr>
          <w:rFonts w:ascii="Sabon" w:hAnsi="Sabon"/>
          <w:iCs/>
        </w:rPr>
      </w:pPr>
      <w:r w:rsidRPr="003B4759">
        <w:rPr>
          <w:rFonts w:ascii="Sabon" w:hAnsi="Sabon"/>
        </w:rPr>
        <w:t>In their July 2014 report of an inquiry into adult social care, the House of Commons Public Accounts Committee</w:t>
      </w:r>
      <w:r w:rsidR="004C0F59" w:rsidRPr="00F7737D">
        <w:rPr>
          <w:rFonts w:ascii="Sabon" w:hAnsi="Sabon"/>
        </w:rPr>
        <w:t> picked</w:t>
      </w:r>
      <w:r w:rsidRPr="003B4759">
        <w:rPr>
          <w:rFonts w:ascii="Sabon" w:hAnsi="Sabon"/>
        </w:rPr>
        <w:t xml:space="preserve"> up on this figure, stating</w:t>
      </w:r>
      <w:r w:rsidR="00C45675">
        <w:rPr>
          <w:rFonts w:ascii="Sabon" w:hAnsi="Sabon"/>
        </w:rPr>
        <w:t xml:space="preserve"> that, </w:t>
      </w:r>
      <w:r w:rsidRPr="003B4759">
        <w:rPr>
          <w:rFonts w:ascii="Sabon" w:hAnsi="Sabon"/>
          <w:i/>
          <w:iCs/>
        </w:rPr>
        <w:t>“</w:t>
      </w:r>
      <w:r w:rsidR="00C45675" w:rsidRPr="00FC4D13">
        <w:rPr>
          <w:rFonts w:ascii="Sabon" w:hAnsi="Sabon"/>
          <w:iCs/>
        </w:rPr>
        <w:t>w</w:t>
      </w:r>
      <w:r w:rsidRPr="00FC4D13">
        <w:rPr>
          <w:rFonts w:ascii="Sabon" w:hAnsi="Sabon"/>
          <w:iCs/>
        </w:rPr>
        <w:t>e are astonished that up to 220,000 care workers earn less than minimum wage and</w:t>
      </w:r>
      <w:r w:rsidRPr="003B4759">
        <w:rPr>
          <w:rFonts w:ascii="Sabon" w:hAnsi="Sabon"/>
          <w:i/>
          <w:iCs/>
        </w:rPr>
        <w:t xml:space="preserve"> </w:t>
      </w:r>
      <w:r w:rsidRPr="00FC4D13">
        <w:rPr>
          <w:rFonts w:ascii="Sabon" w:hAnsi="Sabon"/>
          <w:iCs/>
        </w:rPr>
        <w:lastRenderedPageBreak/>
        <w:t>seemingly little has been done to rectify this</w:t>
      </w:r>
      <w:r w:rsidRPr="003B4759">
        <w:rPr>
          <w:rFonts w:ascii="Sabon" w:hAnsi="Sabon"/>
          <w:i/>
          <w:iCs/>
        </w:rPr>
        <w:t>”</w:t>
      </w:r>
      <w:r w:rsidR="00C45675">
        <w:rPr>
          <w:rFonts w:ascii="Sabon" w:hAnsi="Sabon"/>
          <w:i/>
          <w:iCs/>
        </w:rPr>
        <w:t>.</w:t>
      </w:r>
      <w:r w:rsidRPr="003B4759">
        <w:rPr>
          <w:rStyle w:val="FootnoteReference"/>
          <w:rFonts w:ascii="Sabon" w:hAnsi="Sabon"/>
          <w:b/>
          <w:bCs/>
          <w:i/>
          <w:iCs/>
          <w:sz w:val="22"/>
        </w:rPr>
        <w:footnoteReference w:customMarkFollows="1" w:id="59"/>
        <w:t>[2]</w:t>
      </w:r>
      <w:r w:rsidR="00C45675">
        <w:rPr>
          <w:rFonts w:ascii="Sabon" w:hAnsi="Sabon"/>
          <w:b/>
          <w:bCs/>
          <w:i/>
          <w:iCs/>
        </w:rPr>
        <w:t xml:space="preserve"> </w:t>
      </w:r>
      <w:r w:rsidRPr="003B4759">
        <w:rPr>
          <w:rFonts w:ascii="Sabon" w:hAnsi="Sabon"/>
          <w:bCs/>
          <w:iCs/>
        </w:rPr>
        <w:t xml:space="preserve">They </w:t>
      </w:r>
      <w:r w:rsidR="004C0F59" w:rsidRPr="00C45675">
        <w:rPr>
          <w:rFonts w:ascii="Sabon" w:hAnsi="Sabon"/>
          <w:bCs/>
          <w:iCs/>
        </w:rPr>
        <w:t>also</w:t>
      </w:r>
      <w:r w:rsidRPr="003B4759">
        <w:rPr>
          <w:rFonts w:ascii="Sabon" w:hAnsi="Sabon"/>
          <w:bCs/>
          <w:iCs/>
        </w:rPr>
        <w:t xml:space="preserve"> reco</w:t>
      </w:r>
      <w:r w:rsidR="004C0F59">
        <w:rPr>
          <w:rFonts w:ascii="Sabon" w:hAnsi="Sabon"/>
          <w:bCs/>
          <w:iCs/>
        </w:rPr>
        <w:t>g</w:t>
      </w:r>
      <w:r w:rsidRPr="003B4759">
        <w:rPr>
          <w:rFonts w:ascii="Sabon" w:hAnsi="Sabon"/>
          <w:bCs/>
          <w:iCs/>
        </w:rPr>
        <w:t>nised</w:t>
      </w:r>
      <w:r w:rsidR="00C45675">
        <w:rPr>
          <w:rFonts w:ascii="Sabon" w:hAnsi="Sabon"/>
          <w:b/>
          <w:bCs/>
          <w:i/>
          <w:iCs/>
        </w:rPr>
        <w:t xml:space="preserve"> </w:t>
      </w:r>
      <w:r w:rsidRPr="003B4759">
        <w:rPr>
          <w:rFonts w:ascii="Sabon" w:hAnsi="Sabon"/>
        </w:rPr>
        <w:t>the damaging implications, stating</w:t>
      </w:r>
      <w:r w:rsidR="00C45675">
        <w:rPr>
          <w:rFonts w:ascii="Sabon" w:hAnsi="Sabon"/>
        </w:rPr>
        <w:t xml:space="preserve"> that “</w:t>
      </w:r>
      <w:r w:rsidR="00C45675" w:rsidRPr="00FC4D13">
        <w:rPr>
          <w:rFonts w:ascii="Sabon" w:hAnsi="Sabon"/>
        </w:rPr>
        <w:t>t</w:t>
      </w:r>
      <w:r w:rsidRPr="00FC4D13">
        <w:rPr>
          <w:rFonts w:ascii="Sabon" w:hAnsi="Sabon"/>
          <w:iCs/>
        </w:rPr>
        <w:t>here are continuing risks to quality of care and continuity of services both because of pressures on providers and changing oversight arrangements.</w:t>
      </w:r>
      <w:r w:rsidR="004C0F59" w:rsidRPr="00FC4D13">
        <w:rPr>
          <w:rStyle w:val="FootnoteReference"/>
          <w:rFonts w:ascii="Sabon" w:hAnsi="Sabon"/>
          <w:iCs/>
        </w:rPr>
        <w:footnoteReference w:id="60"/>
      </w:r>
      <w:r w:rsidRPr="00FC4D13">
        <w:rPr>
          <w:rFonts w:ascii="Sabon" w:hAnsi="Sabon"/>
          <w:iCs/>
        </w:rPr>
        <w:t>”</w:t>
      </w:r>
    </w:p>
    <w:p w:rsidR="00F7737D" w:rsidRDefault="00F7737D" w:rsidP="00F7737D">
      <w:pPr>
        <w:rPr>
          <w:rFonts w:ascii="Calibri" w:hAnsi="Calibri"/>
          <w:color w:val="1F497D"/>
          <w:sz w:val="22"/>
          <w:szCs w:val="22"/>
        </w:rPr>
      </w:pPr>
    </w:p>
    <w:p w:rsidR="00F20CB0" w:rsidRDefault="009F05C6">
      <w:pPr>
        <w:spacing w:line="276" w:lineRule="auto"/>
        <w:rPr>
          <w:rFonts w:ascii="Sabon" w:hAnsi="Sabon" w:cs="Arial"/>
          <w:sz w:val="22"/>
          <w:szCs w:val="22"/>
        </w:rPr>
      </w:pPr>
      <w:r w:rsidRPr="00402A82">
        <w:rPr>
          <w:rFonts w:ascii="Sabon" w:hAnsi="Sabon" w:cs="Arial"/>
          <w:sz w:val="22"/>
          <w:szCs w:val="22"/>
        </w:rPr>
        <w:t>A further point con</w:t>
      </w:r>
      <w:r>
        <w:rPr>
          <w:rFonts w:ascii="Sabon" w:hAnsi="Sabon" w:cs="Arial"/>
          <w:sz w:val="22"/>
          <w:szCs w:val="22"/>
        </w:rPr>
        <w:t>cern</w:t>
      </w:r>
      <w:r w:rsidRPr="00402A82">
        <w:rPr>
          <w:rFonts w:ascii="Sabon" w:hAnsi="Sabon" w:cs="Arial"/>
          <w:sz w:val="22"/>
          <w:szCs w:val="22"/>
        </w:rPr>
        <w:t>s the development of case</w:t>
      </w:r>
      <w:r>
        <w:rPr>
          <w:rFonts w:ascii="Sabon" w:hAnsi="Sabon" w:cs="Arial"/>
          <w:sz w:val="22"/>
          <w:szCs w:val="22"/>
        </w:rPr>
        <w:t>-</w:t>
      </w:r>
      <w:r w:rsidRPr="00402A82">
        <w:rPr>
          <w:rFonts w:ascii="Sabon" w:hAnsi="Sabon" w:cs="Arial"/>
          <w:sz w:val="22"/>
          <w:szCs w:val="22"/>
        </w:rPr>
        <w:t xml:space="preserve">law </w:t>
      </w:r>
      <w:r>
        <w:rPr>
          <w:rFonts w:ascii="Sabon" w:hAnsi="Sabon" w:cs="Arial"/>
          <w:sz w:val="22"/>
          <w:szCs w:val="22"/>
        </w:rPr>
        <w:t>concerning</w:t>
      </w:r>
      <w:r w:rsidRPr="00402A82">
        <w:rPr>
          <w:rFonts w:ascii="Sabon" w:hAnsi="Sabon" w:cs="Arial"/>
          <w:sz w:val="22"/>
          <w:szCs w:val="22"/>
        </w:rPr>
        <w:t xml:space="preserve"> sleep-ins in social care. The situ</w:t>
      </w:r>
      <w:r>
        <w:rPr>
          <w:rFonts w:ascii="Sabon" w:hAnsi="Sabon" w:cs="Arial"/>
          <w:sz w:val="22"/>
          <w:szCs w:val="22"/>
        </w:rPr>
        <w:t>ati</w:t>
      </w:r>
      <w:r w:rsidRPr="00402A82">
        <w:rPr>
          <w:rFonts w:ascii="Sabon" w:hAnsi="Sabon" w:cs="Arial"/>
          <w:sz w:val="22"/>
          <w:szCs w:val="22"/>
        </w:rPr>
        <w:t>on has changed significantly in recent ye</w:t>
      </w:r>
      <w:r>
        <w:rPr>
          <w:rFonts w:ascii="Sabon" w:hAnsi="Sabon" w:cs="Arial"/>
          <w:sz w:val="22"/>
          <w:szCs w:val="22"/>
        </w:rPr>
        <w:t>a</w:t>
      </w:r>
      <w:r w:rsidRPr="00402A82">
        <w:rPr>
          <w:rFonts w:ascii="Sabon" w:hAnsi="Sabon" w:cs="Arial"/>
          <w:sz w:val="22"/>
          <w:szCs w:val="22"/>
        </w:rPr>
        <w:t>rs,</w:t>
      </w:r>
      <w:r>
        <w:rPr>
          <w:rFonts w:ascii="Sabon" w:hAnsi="Sabon" w:cs="Arial"/>
          <w:sz w:val="22"/>
          <w:szCs w:val="22"/>
        </w:rPr>
        <w:t xml:space="preserve"> </w:t>
      </w:r>
      <w:r w:rsidRPr="00402A82">
        <w:rPr>
          <w:rFonts w:ascii="Sabon" w:hAnsi="Sabon" w:cs="Arial"/>
          <w:sz w:val="22"/>
          <w:szCs w:val="22"/>
        </w:rPr>
        <w:t>an</w:t>
      </w:r>
      <w:r>
        <w:rPr>
          <w:rFonts w:ascii="Sabon" w:hAnsi="Sabon" w:cs="Arial"/>
          <w:sz w:val="22"/>
          <w:szCs w:val="22"/>
        </w:rPr>
        <w:t>d</w:t>
      </w:r>
      <w:r w:rsidRPr="00402A82">
        <w:rPr>
          <w:rFonts w:ascii="Sabon" w:hAnsi="Sabon" w:cs="Arial"/>
          <w:sz w:val="22"/>
          <w:szCs w:val="22"/>
        </w:rPr>
        <w:t xml:space="preserve"> this should be reflected in the NMW regulations and guidance.  </w:t>
      </w:r>
    </w:p>
    <w:p w:rsidR="00F20CB0" w:rsidRDefault="00F20CB0">
      <w:pPr>
        <w:spacing w:line="276" w:lineRule="auto"/>
        <w:rPr>
          <w:rFonts w:ascii="Sabon" w:hAnsi="Sabon" w:cs="Arial"/>
          <w:sz w:val="22"/>
          <w:szCs w:val="22"/>
        </w:rPr>
      </w:pPr>
    </w:p>
    <w:p w:rsidR="00F20CB0" w:rsidRDefault="003B4759">
      <w:pPr>
        <w:spacing w:line="276" w:lineRule="auto"/>
        <w:rPr>
          <w:rFonts w:ascii="Sabon" w:hAnsi="Sabon" w:cs="Arial"/>
          <w:sz w:val="22"/>
          <w:szCs w:val="22"/>
        </w:rPr>
      </w:pPr>
      <w:r w:rsidRPr="003B4759">
        <w:rPr>
          <w:rFonts w:ascii="Sabon" w:hAnsi="Sabon" w:cs="Arial"/>
          <w:sz w:val="22"/>
          <w:szCs w:val="22"/>
        </w:rPr>
        <w:t xml:space="preserve">In </w:t>
      </w:r>
      <w:r w:rsidRPr="003B4759">
        <w:rPr>
          <w:rFonts w:ascii="Sabon" w:hAnsi="Sabon" w:cs="Arial"/>
          <w:i/>
          <w:iCs/>
          <w:sz w:val="22"/>
          <w:szCs w:val="22"/>
        </w:rPr>
        <w:t>Whittleston v BJP Home Support Ltd</w:t>
      </w:r>
      <w:r w:rsidR="00402A82">
        <w:rPr>
          <w:rStyle w:val="FootnoteReference"/>
          <w:rFonts w:ascii="Sabon" w:hAnsi="Sabon" w:cs="Arial"/>
          <w:i/>
          <w:iCs/>
          <w:szCs w:val="22"/>
        </w:rPr>
        <w:footnoteReference w:id="61"/>
      </w:r>
      <w:r w:rsidRPr="003B4759">
        <w:rPr>
          <w:rFonts w:ascii="Sabon" w:hAnsi="Sabon" w:cs="Arial"/>
          <w:sz w:val="22"/>
          <w:szCs w:val="22"/>
        </w:rPr>
        <w:t>, the President of the EAT held that a home carer who did ‘sleepover’ shifts in the client’s home was working throughout the night, including when she was asleep. In</w:t>
      </w:r>
      <w:r w:rsidR="009F05C6">
        <w:rPr>
          <w:rFonts w:ascii="Sabon" w:hAnsi="Sabon" w:cs="Arial"/>
          <w:sz w:val="22"/>
          <w:szCs w:val="22"/>
        </w:rPr>
        <w:t xml:space="preserve"> an earlier case, </w:t>
      </w:r>
      <w:r w:rsidRPr="003B4759">
        <w:rPr>
          <w:rFonts w:ascii="Sabon" w:hAnsi="Sabon" w:cs="Arial"/>
          <w:i/>
          <w:sz w:val="22"/>
          <w:szCs w:val="22"/>
        </w:rPr>
        <w:t>Esparon T/A Middle West Residential Care Home v Slavikovska</w:t>
      </w:r>
      <w:r w:rsidR="009F05C6">
        <w:rPr>
          <w:rStyle w:val="FootnoteReference"/>
          <w:rFonts w:ascii="Sabon" w:hAnsi="Sabon" w:cs="Arial"/>
          <w:i/>
          <w:szCs w:val="22"/>
        </w:rPr>
        <w:footnoteReference w:id="62"/>
      </w:r>
      <w:r w:rsidRPr="003B4759">
        <w:rPr>
          <w:rFonts w:ascii="Sabon" w:hAnsi="Sabon" w:cs="Arial"/>
          <w:sz w:val="22"/>
          <w:szCs w:val="22"/>
        </w:rPr>
        <w:t>, the claimant was employed as a care worker in a residential care home who was required to work ‘sleep-in’ shifts. Here the EAT again found that she was working throughout the shift and pointed to the fact that there were statutory requirements of the employer to ensure such people were employed at all times to ensure the safety of the residents.</w:t>
      </w:r>
    </w:p>
    <w:p w:rsidR="00402A82" w:rsidRPr="003869C1" w:rsidRDefault="00402A82" w:rsidP="00FA3539">
      <w:pPr>
        <w:spacing w:line="276" w:lineRule="auto"/>
        <w:rPr>
          <w:rFonts w:ascii="Sabon" w:hAnsi="Sabon" w:cs="Arial"/>
          <w:sz w:val="22"/>
          <w:szCs w:val="22"/>
        </w:rPr>
      </w:pPr>
    </w:p>
    <w:p w:rsidR="00796177" w:rsidRDefault="004E470A" w:rsidP="00FA3539">
      <w:pPr>
        <w:spacing w:line="276" w:lineRule="auto"/>
        <w:rPr>
          <w:rFonts w:ascii="Sabon" w:hAnsi="Sabon" w:cs="Arial"/>
          <w:sz w:val="22"/>
          <w:szCs w:val="22"/>
        </w:rPr>
      </w:pPr>
      <w:r>
        <w:rPr>
          <w:rFonts w:ascii="Sabon" w:hAnsi="Sabon" w:cs="Arial"/>
          <w:sz w:val="22"/>
          <w:szCs w:val="22"/>
        </w:rPr>
        <w:t xml:space="preserve">A new funding settlement is clearly needed for social care. </w:t>
      </w:r>
      <w:r w:rsidR="00796177">
        <w:rPr>
          <w:rFonts w:ascii="Sabon" w:hAnsi="Sabon" w:cs="Arial"/>
          <w:sz w:val="22"/>
          <w:szCs w:val="22"/>
        </w:rPr>
        <w:t xml:space="preserve">This must </w:t>
      </w:r>
      <w:r w:rsidR="00796177" w:rsidRPr="003869C1">
        <w:rPr>
          <w:rFonts w:ascii="Sabon" w:hAnsi="Sabon" w:cs="Arial"/>
          <w:sz w:val="22"/>
          <w:szCs w:val="22"/>
        </w:rPr>
        <w:t xml:space="preserve">ensure that both care and wages meet minimum standards.  </w:t>
      </w:r>
    </w:p>
    <w:p w:rsidR="00796177" w:rsidRDefault="00796177" w:rsidP="00FA3539">
      <w:pPr>
        <w:spacing w:line="276" w:lineRule="auto"/>
        <w:rPr>
          <w:rFonts w:ascii="Sabon" w:hAnsi="Sabon" w:cs="Arial"/>
          <w:sz w:val="22"/>
          <w:szCs w:val="22"/>
        </w:rPr>
      </w:pPr>
    </w:p>
    <w:p w:rsidR="004070B4" w:rsidRDefault="004E470A" w:rsidP="00FA3539">
      <w:pPr>
        <w:spacing w:line="276" w:lineRule="auto"/>
        <w:rPr>
          <w:rFonts w:ascii="Sabon" w:hAnsi="Sabon" w:cs="Arial"/>
          <w:sz w:val="22"/>
          <w:szCs w:val="22"/>
        </w:rPr>
      </w:pPr>
      <w:r>
        <w:rPr>
          <w:rFonts w:ascii="Sabon" w:hAnsi="Sabon" w:cs="Arial"/>
          <w:sz w:val="22"/>
          <w:szCs w:val="22"/>
        </w:rPr>
        <w:t>However, enforcement cannot wait and HMRC should vigorously pursue employers who underpay.</w:t>
      </w:r>
    </w:p>
    <w:p w:rsidR="004E470A" w:rsidRPr="003869C1" w:rsidRDefault="004E470A" w:rsidP="00FA3539">
      <w:pPr>
        <w:spacing w:line="276" w:lineRule="auto"/>
        <w:rPr>
          <w:rFonts w:ascii="Sabon" w:hAnsi="Sabon" w:cs="Arial"/>
          <w:sz w:val="22"/>
          <w:szCs w:val="22"/>
        </w:rPr>
      </w:pPr>
    </w:p>
    <w:p w:rsidR="004070B4" w:rsidRPr="003869C1" w:rsidRDefault="004070B4" w:rsidP="00FA3539">
      <w:pPr>
        <w:spacing w:line="276" w:lineRule="auto"/>
        <w:rPr>
          <w:rFonts w:ascii="Sabon" w:hAnsi="Sabon" w:cs="Arial"/>
          <w:sz w:val="22"/>
          <w:szCs w:val="22"/>
        </w:rPr>
      </w:pPr>
      <w:r w:rsidRPr="003869C1">
        <w:rPr>
          <w:rFonts w:ascii="Sabon" w:hAnsi="Sabon" w:cs="Arial"/>
          <w:sz w:val="22"/>
          <w:szCs w:val="22"/>
        </w:rPr>
        <w:t xml:space="preserve">The </w:t>
      </w:r>
      <w:r w:rsidR="00813E75" w:rsidRPr="003869C1">
        <w:rPr>
          <w:rFonts w:ascii="Sabon" w:hAnsi="Sabon" w:cs="Arial"/>
          <w:sz w:val="22"/>
          <w:szCs w:val="22"/>
        </w:rPr>
        <w:t>situation</w:t>
      </w:r>
      <w:r w:rsidRPr="003869C1">
        <w:rPr>
          <w:rFonts w:ascii="Sabon" w:hAnsi="Sabon" w:cs="Arial"/>
          <w:sz w:val="22"/>
          <w:szCs w:val="22"/>
        </w:rPr>
        <w:t xml:space="preserve"> for other groups of workers who </w:t>
      </w:r>
      <w:r w:rsidR="00813E75" w:rsidRPr="003869C1">
        <w:rPr>
          <w:rFonts w:ascii="Sabon" w:hAnsi="Sabon" w:cs="Arial"/>
          <w:sz w:val="22"/>
          <w:szCs w:val="22"/>
        </w:rPr>
        <w:t>are</w:t>
      </w:r>
      <w:r w:rsidRPr="003869C1">
        <w:rPr>
          <w:rFonts w:ascii="Sabon" w:hAnsi="Sabon" w:cs="Arial"/>
          <w:sz w:val="22"/>
          <w:szCs w:val="22"/>
        </w:rPr>
        <w:t xml:space="preserve"> particularly at risk </w:t>
      </w:r>
      <w:r w:rsidR="00813E75" w:rsidRPr="003869C1">
        <w:rPr>
          <w:rFonts w:ascii="Sabon" w:hAnsi="Sabon" w:cs="Arial"/>
          <w:sz w:val="22"/>
          <w:szCs w:val="22"/>
        </w:rPr>
        <w:t>remains</w:t>
      </w:r>
      <w:r w:rsidRPr="003869C1">
        <w:rPr>
          <w:rFonts w:ascii="Sabon" w:hAnsi="Sabon" w:cs="Arial"/>
          <w:sz w:val="22"/>
          <w:szCs w:val="22"/>
        </w:rPr>
        <w:t xml:space="preserve"> much the same as was reported last year.</w:t>
      </w:r>
    </w:p>
    <w:p w:rsidR="004070B4" w:rsidRPr="003869C1" w:rsidRDefault="004070B4" w:rsidP="00FA3539">
      <w:pPr>
        <w:spacing w:line="276" w:lineRule="auto"/>
        <w:rPr>
          <w:rFonts w:ascii="Sabon" w:hAnsi="Sabon" w:cs="Arial"/>
          <w:sz w:val="22"/>
          <w:szCs w:val="22"/>
        </w:rPr>
      </w:pPr>
    </w:p>
    <w:p w:rsidR="004070B4" w:rsidRPr="003869C1" w:rsidRDefault="004070B4" w:rsidP="00FA3539">
      <w:pPr>
        <w:spacing w:line="276" w:lineRule="auto"/>
        <w:rPr>
          <w:rFonts w:ascii="Sabon" w:hAnsi="Sabon" w:cs="Arial"/>
          <w:sz w:val="22"/>
          <w:szCs w:val="22"/>
        </w:rPr>
      </w:pPr>
      <w:r w:rsidRPr="003869C1">
        <w:rPr>
          <w:rFonts w:ascii="Sabon" w:hAnsi="Sabon" w:cs="Arial"/>
          <w:sz w:val="22"/>
          <w:szCs w:val="22"/>
        </w:rPr>
        <w:t xml:space="preserve">Domestic workers are </w:t>
      </w:r>
      <w:r w:rsidR="00813E75" w:rsidRPr="003869C1">
        <w:rPr>
          <w:rFonts w:ascii="Sabon" w:hAnsi="Sabon" w:cs="Arial"/>
          <w:sz w:val="22"/>
          <w:szCs w:val="22"/>
        </w:rPr>
        <w:t>particularly</w:t>
      </w:r>
      <w:r w:rsidRPr="003869C1">
        <w:rPr>
          <w:rFonts w:ascii="Sabon" w:hAnsi="Sabon" w:cs="Arial"/>
          <w:sz w:val="22"/>
          <w:szCs w:val="22"/>
        </w:rPr>
        <w:t xml:space="preserve"> at risk, and those who live in </w:t>
      </w:r>
      <w:r w:rsidR="00813E75" w:rsidRPr="003869C1">
        <w:rPr>
          <w:rFonts w:ascii="Sabon" w:hAnsi="Sabon" w:cs="Arial"/>
          <w:sz w:val="22"/>
          <w:szCs w:val="22"/>
        </w:rPr>
        <w:t>the</w:t>
      </w:r>
      <w:r w:rsidRPr="003869C1">
        <w:rPr>
          <w:rFonts w:ascii="Sabon" w:hAnsi="Sabon" w:cs="Arial"/>
          <w:sz w:val="22"/>
          <w:szCs w:val="22"/>
        </w:rPr>
        <w:t xml:space="preserve"> same </w:t>
      </w:r>
      <w:r w:rsidR="00813E75" w:rsidRPr="003869C1">
        <w:rPr>
          <w:rFonts w:ascii="Sabon" w:hAnsi="Sabon" w:cs="Arial"/>
          <w:sz w:val="22"/>
          <w:szCs w:val="22"/>
        </w:rPr>
        <w:t>establishment</w:t>
      </w:r>
      <w:r w:rsidRPr="003869C1">
        <w:rPr>
          <w:rFonts w:ascii="Sabon" w:hAnsi="Sabon" w:cs="Arial"/>
          <w:sz w:val="22"/>
          <w:szCs w:val="22"/>
        </w:rPr>
        <w:t xml:space="preserve"> are simply, but </w:t>
      </w:r>
      <w:r w:rsidR="00813E75" w:rsidRPr="003869C1">
        <w:rPr>
          <w:rFonts w:ascii="Sabon" w:hAnsi="Sabon" w:cs="Arial"/>
          <w:sz w:val="22"/>
          <w:szCs w:val="22"/>
        </w:rPr>
        <w:t>wrongly</w:t>
      </w:r>
      <w:r w:rsidRPr="003869C1">
        <w:rPr>
          <w:rFonts w:ascii="Sabon" w:hAnsi="Sabon" w:cs="Arial"/>
          <w:sz w:val="22"/>
          <w:szCs w:val="22"/>
        </w:rPr>
        <w:t>, excluded fr</w:t>
      </w:r>
      <w:r w:rsidR="00D650A4" w:rsidRPr="003869C1">
        <w:rPr>
          <w:rFonts w:ascii="Sabon" w:hAnsi="Sabon" w:cs="Arial"/>
          <w:sz w:val="22"/>
          <w:szCs w:val="22"/>
        </w:rPr>
        <w:t>o</w:t>
      </w:r>
      <w:r w:rsidRPr="003869C1">
        <w:rPr>
          <w:rFonts w:ascii="Sabon" w:hAnsi="Sabon" w:cs="Arial"/>
          <w:sz w:val="22"/>
          <w:szCs w:val="22"/>
        </w:rPr>
        <w:t xml:space="preserve">m the right to the </w:t>
      </w:r>
      <w:r w:rsidR="00813E75" w:rsidRPr="003869C1">
        <w:rPr>
          <w:rFonts w:ascii="Sabon" w:hAnsi="Sabon" w:cs="Arial"/>
          <w:sz w:val="22"/>
          <w:szCs w:val="22"/>
        </w:rPr>
        <w:t>minimum</w:t>
      </w:r>
      <w:r w:rsidRPr="003869C1">
        <w:rPr>
          <w:rFonts w:ascii="Sabon" w:hAnsi="Sabon" w:cs="Arial"/>
          <w:sz w:val="22"/>
          <w:szCs w:val="22"/>
        </w:rPr>
        <w:t xml:space="preserve"> wage</w:t>
      </w:r>
      <w:r w:rsidR="00D650A4" w:rsidRPr="003869C1">
        <w:rPr>
          <w:rFonts w:ascii="Sabon" w:hAnsi="Sabon" w:cs="Arial"/>
          <w:sz w:val="22"/>
          <w:szCs w:val="22"/>
        </w:rPr>
        <w:t xml:space="preserve">. </w:t>
      </w:r>
      <w:r w:rsidR="00813E75" w:rsidRPr="003869C1">
        <w:rPr>
          <w:rFonts w:ascii="Sabon" w:hAnsi="Sabon" w:cs="Arial"/>
          <w:sz w:val="22"/>
          <w:szCs w:val="22"/>
        </w:rPr>
        <w:t>Regulation</w:t>
      </w:r>
      <w:r w:rsidR="00D650A4" w:rsidRPr="003869C1">
        <w:rPr>
          <w:rFonts w:ascii="Sabon" w:hAnsi="Sabon" w:cs="Arial"/>
          <w:sz w:val="22"/>
          <w:szCs w:val="22"/>
        </w:rPr>
        <w:t xml:space="preserve"> 2.2 should be </w:t>
      </w:r>
      <w:r w:rsidR="00813E75" w:rsidRPr="003869C1">
        <w:rPr>
          <w:rFonts w:ascii="Sabon" w:hAnsi="Sabon" w:cs="Arial"/>
          <w:sz w:val="22"/>
          <w:szCs w:val="22"/>
        </w:rPr>
        <w:t>amended</w:t>
      </w:r>
      <w:r w:rsidR="00D650A4" w:rsidRPr="003869C1">
        <w:rPr>
          <w:rFonts w:ascii="Sabon" w:hAnsi="Sabon" w:cs="Arial"/>
          <w:sz w:val="22"/>
          <w:szCs w:val="22"/>
        </w:rPr>
        <w:t xml:space="preserve"> to extend the </w:t>
      </w:r>
      <w:r w:rsidR="00813E75" w:rsidRPr="003869C1">
        <w:rPr>
          <w:rFonts w:ascii="Sabon" w:hAnsi="Sabon" w:cs="Arial"/>
          <w:sz w:val="22"/>
          <w:szCs w:val="22"/>
        </w:rPr>
        <w:t>minimum</w:t>
      </w:r>
      <w:r w:rsidR="00D650A4" w:rsidRPr="003869C1">
        <w:rPr>
          <w:rFonts w:ascii="Sabon" w:hAnsi="Sabon" w:cs="Arial"/>
          <w:sz w:val="22"/>
          <w:szCs w:val="22"/>
        </w:rPr>
        <w:t xml:space="preserve"> wage to such workers.</w:t>
      </w:r>
    </w:p>
    <w:p w:rsidR="00D650A4" w:rsidRPr="003869C1" w:rsidRDefault="00D650A4" w:rsidP="00FA3539">
      <w:pPr>
        <w:spacing w:line="276" w:lineRule="auto"/>
        <w:rPr>
          <w:rFonts w:ascii="Sabon" w:hAnsi="Sabon" w:cs="Arial"/>
          <w:sz w:val="22"/>
          <w:szCs w:val="22"/>
        </w:rPr>
      </w:pPr>
    </w:p>
    <w:p w:rsidR="00D650A4" w:rsidRPr="003869C1" w:rsidRDefault="00813E75" w:rsidP="00FA3539">
      <w:pPr>
        <w:spacing w:line="276" w:lineRule="auto"/>
        <w:rPr>
          <w:rFonts w:ascii="Sabon" w:hAnsi="Sabon" w:cs="Arial"/>
          <w:sz w:val="22"/>
          <w:szCs w:val="22"/>
        </w:rPr>
      </w:pPr>
      <w:r w:rsidRPr="003869C1">
        <w:rPr>
          <w:rFonts w:ascii="Sabon" w:hAnsi="Sabon" w:cs="Arial"/>
          <w:sz w:val="22"/>
          <w:szCs w:val="22"/>
        </w:rPr>
        <w:t>Similarly</w:t>
      </w:r>
      <w:r w:rsidR="00D650A4" w:rsidRPr="003869C1">
        <w:rPr>
          <w:rFonts w:ascii="Sabon" w:hAnsi="Sabon" w:cs="Arial"/>
          <w:sz w:val="22"/>
          <w:szCs w:val="22"/>
        </w:rPr>
        <w:t xml:space="preserve">, many </w:t>
      </w:r>
      <w:r w:rsidRPr="003869C1">
        <w:rPr>
          <w:rFonts w:ascii="Sabon" w:hAnsi="Sabon" w:cs="Arial"/>
          <w:sz w:val="22"/>
          <w:szCs w:val="22"/>
        </w:rPr>
        <w:t>seafarers</w:t>
      </w:r>
      <w:r w:rsidR="00D650A4" w:rsidRPr="003869C1">
        <w:rPr>
          <w:rFonts w:ascii="Sabon" w:hAnsi="Sabon" w:cs="Arial"/>
          <w:sz w:val="22"/>
          <w:szCs w:val="22"/>
        </w:rPr>
        <w:t xml:space="preserve"> are still excluded from the </w:t>
      </w:r>
      <w:r w:rsidRPr="003869C1">
        <w:rPr>
          <w:rFonts w:ascii="Sabon" w:hAnsi="Sabon" w:cs="Arial"/>
          <w:sz w:val="22"/>
          <w:szCs w:val="22"/>
        </w:rPr>
        <w:t>minimum</w:t>
      </w:r>
      <w:r w:rsidR="00D650A4" w:rsidRPr="003869C1">
        <w:rPr>
          <w:rFonts w:ascii="Sabon" w:hAnsi="Sabon" w:cs="Arial"/>
          <w:sz w:val="22"/>
          <w:szCs w:val="22"/>
        </w:rPr>
        <w:t xml:space="preserve"> wage, </w:t>
      </w:r>
      <w:r w:rsidRPr="003869C1">
        <w:rPr>
          <w:rFonts w:ascii="Sabon" w:hAnsi="Sabon" w:cs="Arial"/>
          <w:sz w:val="22"/>
          <w:szCs w:val="22"/>
        </w:rPr>
        <w:t>unless</w:t>
      </w:r>
      <w:r w:rsidR="00D650A4" w:rsidRPr="003869C1">
        <w:rPr>
          <w:rFonts w:ascii="Sabon" w:hAnsi="Sabon" w:cs="Arial"/>
          <w:sz w:val="22"/>
          <w:szCs w:val="22"/>
        </w:rPr>
        <w:t xml:space="preserve"> they meet </w:t>
      </w:r>
      <w:r w:rsidRPr="003869C1">
        <w:rPr>
          <w:rFonts w:ascii="Sabon" w:hAnsi="Sabon" w:cs="Arial"/>
          <w:sz w:val="22"/>
          <w:szCs w:val="22"/>
        </w:rPr>
        <w:t>certain</w:t>
      </w:r>
      <w:r w:rsidR="00D650A4" w:rsidRPr="003869C1">
        <w:rPr>
          <w:rFonts w:ascii="Sabon" w:hAnsi="Sabon" w:cs="Arial"/>
          <w:sz w:val="22"/>
          <w:szCs w:val="22"/>
        </w:rPr>
        <w:t xml:space="preserve"> </w:t>
      </w:r>
      <w:r w:rsidRPr="003869C1">
        <w:rPr>
          <w:rFonts w:ascii="Sabon" w:hAnsi="Sabon" w:cs="Arial"/>
          <w:sz w:val="22"/>
          <w:szCs w:val="22"/>
        </w:rPr>
        <w:t>residency</w:t>
      </w:r>
      <w:r w:rsidR="00D650A4" w:rsidRPr="003869C1">
        <w:rPr>
          <w:rFonts w:ascii="Sabon" w:hAnsi="Sabon" w:cs="Arial"/>
          <w:sz w:val="22"/>
          <w:szCs w:val="22"/>
        </w:rPr>
        <w:t xml:space="preserve"> </w:t>
      </w:r>
      <w:r w:rsidRPr="003869C1">
        <w:rPr>
          <w:rFonts w:ascii="Sabon" w:hAnsi="Sabon" w:cs="Arial"/>
          <w:sz w:val="22"/>
          <w:szCs w:val="22"/>
        </w:rPr>
        <w:t>conditions</w:t>
      </w:r>
      <w:r w:rsidR="00D650A4" w:rsidRPr="003869C1">
        <w:rPr>
          <w:rFonts w:ascii="Sabon" w:hAnsi="Sabon" w:cs="Arial"/>
          <w:sz w:val="22"/>
          <w:szCs w:val="22"/>
        </w:rPr>
        <w:t xml:space="preserve"> or have a very close link to the UK. The </w:t>
      </w:r>
      <w:r w:rsidRPr="003869C1">
        <w:rPr>
          <w:rFonts w:ascii="Sabon" w:hAnsi="Sabon" w:cs="Arial"/>
          <w:sz w:val="22"/>
          <w:szCs w:val="22"/>
        </w:rPr>
        <w:t>trade</w:t>
      </w:r>
      <w:r w:rsidR="00D650A4" w:rsidRPr="003869C1">
        <w:rPr>
          <w:rFonts w:ascii="Sabon" w:hAnsi="Sabon" w:cs="Arial"/>
          <w:sz w:val="22"/>
          <w:szCs w:val="22"/>
        </w:rPr>
        <w:t xml:space="preserve"> </w:t>
      </w:r>
      <w:r w:rsidRPr="003869C1">
        <w:rPr>
          <w:rFonts w:ascii="Sabon" w:hAnsi="Sabon" w:cs="Arial"/>
          <w:sz w:val="22"/>
          <w:szCs w:val="22"/>
        </w:rPr>
        <w:t>union</w:t>
      </w:r>
      <w:r w:rsidR="00D650A4" w:rsidRPr="003869C1">
        <w:rPr>
          <w:rFonts w:ascii="Sabon" w:hAnsi="Sabon" w:cs="Arial"/>
          <w:sz w:val="22"/>
          <w:szCs w:val="22"/>
        </w:rPr>
        <w:t xml:space="preserve"> </w:t>
      </w:r>
      <w:r w:rsidRPr="003869C1">
        <w:rPr>
          <w:rFonts w:ascii="Sabon" w:hAnsi="Sabon" w:cs="Arial"/>
          <w:sz w:val="22"/>
          <w:szCs w:val="22"/>
        </w:rPr>
        <w:t>RMT is</w:t>
      </w:r>
      <w:r w:rsidR="00D650A4" w:rsidRPr="003869C1">
        <w:rPr>
          <w:rFonts w:ascii="Sabon" w:hAnsi="Sabon" w:cs="Arial"/>
          <w:sz w:val="22"/>
          <w:szCs w:val="22"/>
        </w:rPr>
        <w:t xml:space="preserve"> </w:t>
      </w:r>
      <w:r w:rsidRPr="003869C1">
        <w:rPr>
          <w:rFonts w:ascii="Sabon" w:hAnsi="Sabon" w:cs="Arial"/>
          <w:sz w:val="22"/>
          <w:szCs w:val="22"/>
        </w:rPr>
        <w:t>representing</w:t>
      </w:r>
      <w:r w:rsidR="00D650A4" w:rsidRPr="003869C1">
        <w:rPr>
          <w:rFonts w:ascii="Sabon" w:hAnsi="Sabon" w:cs="Arial"/>
          <w:sz w:val="22"/>
          <w:szCs w:val="22"/>
        </w:rPr>
        <w:t xml:space="preserve"> a number </w:t>
      </w:r>
      <w:r w:rsidRPr="003869C1">
        <w:rPr>
          <w:rFonts w:ascii="Sabon" w:hAnsi="Sabon" w:cs="Arial"/>
          <w:sz w:val="22"/>
          <w:szCs w:val="22"/>
        </w:rPr>
        <w:t>of</w:t>
      </w:r>
      <w:r w:rsidR="00D650A4" w:rsidRPr="003869C1">
        <w:rPr>
          <w:rFonts w:ascii="Sabon" w:hAnsi="Sabon" w:cs="Arial"/>
          <w:sz w:val="22"/>
          <w:szCs w:val="22"/>
        </w:rPr>
        <w:t xml:space="preserve"> workers who are employed only on ferry </w:t>
      </w:r>
      <w:r w:rsidRPr="003869C1">
        <w:rPr>
          <w:rFonts w:ascii="Sabon" w:hAnsi="Sabon" w:cs="Arial"/>
          <w:sz w:val="22"/>
          <w:szCs w:val="22"/>
        </w:rPr>
        <w:t>routes between</w:t>
      </w:r>
      <w:r w:rsidR="00D650A4" w:rsidRPr="003869C1">
        <w:rPr>
          <w:rFonts w:ascii="Sabon" w:hAnsi="Sabon" w:cs="Arial"/>
          <w:sz w:val="22"/>
          <w:szCs w:val="22"/>
        </w:rPr>
        <w:t xml:space="preserve"> two UK </w:t>
      </w:r>
      <w:r w:rsidRPr="003869C1">
        <w:rPr>
          <w:rFonts w:ascii="Sabon" w:hAnsi="Sabon" w:cs="Arial"/>
          <w:sz w:val="22"/>
          <w:szCs w:val="22"/>
        </w:rPr>
        <w:t>ports</w:t>
      </w:r>
      <w:r w:rsidR="00D650A4" w:rsidRPr="003869C1">
        <w:rPr>
          <w:rFonts w:ascii="Sabon" w:hAnsi="Sabon" w:cs="Arial"/>
          <w:sz w:val="22"/>
          <w:szCs w:val="22"/>
        </w:rPr>
        <w:t xml:space="preserve"> but </w:t>
      </w:r>
      <w:r w:rsidRPr="003869C1">
        <w:rPr>
          <w:rFonts w:ascii="Sabon" w:hAnsi="Sabon" w:cs="Arial"/>
          <w:sz w:val="22"/>
          <w:szCs w:val="22"/>
        </w:rPr>
        <w:t>still</w:t>
      </w:r>
      <w:r w:rsidR="00D650A4" w:rsidRPr="003869C1">
        <w:rPr>
          <w:rFonts w:ascii="Sabon" w:hAnsi="Sabon" w:cs="Arial"/>
          <w:sz w:val="22"/>
          <w:szCs w:val="22"/>
        </w:rPr>
        <w:t xml:space="preserve"> do not </w:t>
      </w:r>
      <w:r w:rsidRPr="003869C1">
        <w:rPr>
          <w:rFonts w:ascii="Sabon" w:hAnsi="Sabon" w:cs="Arial"/>
          <w:sz w:val="22"/>
          <w:szCs w:val="22"/>
        </w:rPr>
        <w:t>receive</w:t>
      </w:r>
      <w:r w:rsidR="00D650A4" w:rsidRPr="003869C1">
        <w:rPr>
          <w:rFonts w:ascii="Sabon" w:hAnsi="Sabon" w:cs="Arial"/>
          <w:sz w:val="22"/>
          <w:szCs w:val="22"/>
        </w:rPr>
        <w:t xml:space="preserve"> the </w:t>
      </w:r>
      <w:r w:rsidRPr="003869C1">
        <w:rPr>
          <w:rFonts w:ascii="Sabon" w:hAnsi="Sabon" w:cs="Arial"/>
          <w:sz w:val="22"/>
          <w:szCs w:val="22"/>
        </w:rPr>
        <w:t>minimum</w:t>
      </w:r>
      <w:r w:rsidR="00D650A4" w:rsidRPr="003869C1">
        <w:rPr>
          <w:rFonts w:ascii="Sabon" w:hAnsi="Sabon" w:cs="Arial"/>
          <w:sz w:val="22"/>
          <w:szCs w:val="22"/>
        </w:rPr>
        <w:t xml:space="preserve"> wage. The government should look again to see if it can do more to </w:t>
      </w:r>
      <w:r w:rsidRPr="003869C1">
        <w:rPr>
          <w:rFonts w:ascii="Sabon" w:hAnsi="Sabon" w:cs="Arial"/>
          <w:sz w:val="22"/>
          <w:szCs w:val="22"/>
        </w:rPr>
        <w:t>ensure</w:t>
      </w:r>
      <w:r w:rsidR="00D650A4" w:rsidRPr="003869C1">
        <w:rPr>
          <w:rFonts w:ascii="Sabon" w:hAnsi="Sabon" w:cs="Arial"/>
          <w:sz w:val="22"/>
          <w:szCs w:val="22"/>
        </w:rPr>
        <w:t xml:space="preserve"> that </w:t>
      </w:r>
      <w:r w:rsidRPr="003869C1">
        <w:rPr>
          <w:rFonts w:ascii="Sabon" w:hAnsi="Sabon" w:cs="Arial"/>
          <w:sz w:val="22"/>
          <w:szCs w:val="22"/>
        </w:rPr>
        <w:t>these</w:t>
      </w:r>
      <w:r w:rsidR="00D650A4" w:rsidRPr="003869C1">
        <w:rPr>
          <w:rFonts w:ascii="Sabon" w:hAnsi="Sabon" w:cs="Arial"/>
          <w:sz w:val="22"/>
          <w:szCs w:val="22"/>
        </w:rPr>
        <w:t xml:space="preserve"> </w:t>
      </w:r>
      <w:r w:rsidR="00D650A4" w:rsidRPr="003869C1">
        <w:rPr>
          <w:rFonts w:ascii="Sabon" w:hAnsi="Sabon" w:cs="Arial"/>
          <w:sz w:val="22"/>
          <w:szCs w:val="22"/>
        </w:rPr>
        <w:lastRenderedPageBreak/>
        <w:t xml:space="preserve">workers are paid in line </w:t>
      </w:r>
      <w:r w:rsidRPr="003869C1">
        <w:rPr>
          <w:rFonts w:ascii="Sabon" w:hAnsi="Sabon" w:cs="Arial"/>
          <w:sz w:val="22"/>
          <w:szCs w:val="22"/>
        </w:rPr>
        <w:t>with</w:t>
      </w:r>
      <w:r w:rsidR="00D650A4" w:rsidRPr="003869C1">
        <w:rPr>
          <w:rFonts w:ascii="Sabon" w:hAnsi="Sabon" w:cs="Arial"/>
          <w:sz w:val="22"/>
          <w:szCs w:val="22"/>
        </w:rPr>
        <w:t xml:space="preserve"> UK law. </w:t>
      </w:r>
    </w:p>
    <w:p w:rsidR="004070B4" w:rsidRPr="003869C1" w:rsidRDefault="004070B4" w:rsidP="00FA3539">
      <w:pPr>
        <w:spacing w:line="276" w:lineRule="auto"/>
        <w:rPr>
          <w:rFonts w:ascii="Sabon" w:hAnsi="Sabon" w:cs="Arial"/>
          <w:sz w:val="22"/>
          <w:szCs w:val="22"/>
        </w:rPr>
      </w:pPr>
    </w:p>
    <w:p w:rsidR="00113AB8" w:rsidRPr="003869C1" w:rsidRDefault="009D57B3" w:rsidP="00113AB8">
      <w:pPr>
        <w:spacing w:line="276" w:lineRule="auto"/>
        <w:rPr>
          <w:rFonts w:ascii="Sabon" w:hAnsi="Sabon"/>
          <w:sz w:val="22"/>
          <w:szCs w:val="22"/>
          <w:lang w:val="en-US" w:eastAsia="en-GB"/>
        </w:rPr>
      </w:pPr>
      <w:r w:rsidRPr="003869C1">
        <w:rPr>
          <w:rFonts w:ascii="Sabon" w:hAnsi="Sabon"/>
          <w:sz w:val="22"/>
          <w:szCs w:val="22"/>
          <w:lang w:val="en-US" w:eastAsia="en-GB"/>
        </w:rPr>
        <w:t>There is a</w:t>
      </w:r>
      <w:r w:rsidR="00BE2E50" w:rsidRPr="003869C1">
        <w:rPr>
          <w:rFonts w:ascii="Sabon" w:hAnsi="Sabon"/>
          <w:sz w:val="22"/>
          <w:szCs w:val="22"/>
          <w:lang w:val="en-US" w:eastAsia="en-GB"/>
        </w:rPr>
        <w:t xml:space="preserve">n entrenched </w:t>
      </w:r>
      <w:r w:rsidR="00813E75" w:rsidRPr="003869C1">
        <w:rPr>
          <w:rFonts w:ascii="Sabon" w:hAnsi="Sabon"/>
          <w:sz w:val="22"/>
          <w:szCs w:val="22"/>
          <w:lang w:val="en-US" w:eastAsia="en-GB"/>
        </w:rPr>
        <w:t>subculture</w:t>
      </w:r>
      <w:r w:rsidRPr="003869C1">
        <w:rPr>
          <w:rFonts w:ascii="Sabon" w:hAnsi="Sabon"/>
          <w:sz w:val="22"/>
          <w:szCs w:val="22"/>
          <w:lang w:val="en-US" w:eastAsia="en-GB"/>
        </w:rPr>
        <w:t xml:space="preserve"> amongst employers in </w:t>
      </w:r>
      <w:r w:rsidR="00813E75" w:rsidRPr="003869C1">
        <w:rPr>
          <w:rFonts w:ascii="Sabon" w:hAnsi="Sabon"/>
          <w:sz w:val="22"/>
          <w:szCs w:val="22"/>
          <w:lang w:val="en-US" w:eastAsia="en-GB"/>
        </w:rPr>
        <w:t>certain</w:t>
      </w:r>
      <w:r w:rsidRPr="003869C1">
        <w:rPr>
          <w:rFonts w:ascii="Sabon" w:hAnsi="Sabon"/>
          <w:sz w:val="22"/>
          <w:szCs w:val="22"/>
          <w:lang w:val="en-US" w:eastAsia="en-GB"/>
        </w:rPr>
        <w:t xml:space="preserve"> sectors that </w:t>
      </w:r>
      <w:r w:rsidR="00FA3539" w:rsidRPr="003869C1">
        <w:rPr>
          <w:rFonts w:ascii="Sabon" w:hAnsi="Sabon"/>
          <w:sz w:val="22"/>
          <w:szCs w:val="22"/>
          <w:lang w:val="en-US" w:eastAsia="en-GB"/>
        </w:rPr>
        <w:t>push</w:t>
      </w:r>
      <w:r w:rsidRPr="003869C1">
        <w:rPr>
          <w:rFonts w:ascii="Sabon" w:hAnsi="Sabon"/>
          <w:sz w:val="22"/>
          <w:szCs w:val="22"/>
          <w:lang w:val="en-US" w:eastAsia="en-GB"/>
        </w:rPr>
        <w:t>es</w:t>
      </w:r>
      <w:r w:rsidR="00FA3539" w:rsidRPr="003869C1">
        <w:rPr>
          <w:rFonts w:ascii="Sabon" w:hAnsi="Sabon"/>
          <w:sz w:val="22"/>
          <w:szCs w:val="22"/>
          <w:lang w:val="en-US" w:eastAsia="en-GB"/>
        </w:rPr>
        <w:t xml:space="preserve"> </w:t>
      </w:r>
      <w:r w:rsidR="00813E75" w:rsidRPr="003869C1">
        <w:rPr>
          <w:rFonts w:ascii="Sabon" w:hAnsi="Sabon"/>
          <w:sz w:val="22"/>
          <w:szCs w:val="22"/>
          <w:lang w:val="en-US" w:eastAsia="en-GB"/>
        </w:rPr>
        <w:t>strongly</w:t>
      </w:r>
      <w:r w:rsidRPr="003869C1">
        <w:rPr>
          <w:rFonts w:ascii="Sabon" w:hAnsi="Sabon"/>
          <w:sz w:val="22"/>
          <w:szCs w:val="22"/>
          <w:lang w:val="en-US" w:eastAsia="en-GB"/>
        </w:rPr>
        <w:t xml:space="preserve"> </w:t>
      </w:r>
      <w:r w:rsidR="00FA3539" w:rsidRPr="003869C1">
        <w:rPr>
          <w:rFonts w:ascii="Sabon" w:hAnsi="Sabon"/>
          <w:sz w:val="22"/>
          <w:szCs w:val="22"/>
          <w:lang w:val="en-US" w:eastAsia="en-GB"/>
        </w:rPr>
        <w:t xml:space="preserve">against the integrity of the </w:t>
      </w:r>
      <w:r w:rsidRPr="003869C1">
        <w:rPr>
          <w:rFonts w:ascii="Sabon" w:hAnsi="Sabon"/>
          <w:sz w:val="22"/>
          <w:szCs w:val="22"/>
          <w:lang w:val="en-US" w:eastAsia="en-GB"/>
        </w:rPr>
        <w:t xml:space="preserve">national </w:t>
      </w:r>
      <w:r w:rsidR="00813E75" w:rsidRPr="003869C1">
        <w:rPr>
          <w:rFonts w:ascii="Sabon" w:hAnsi="Sabon"/>
          <w:sz w:val="22"/>
          <w:szCs w:val="22"/>
          <w:lang w:val="en-US" w:eastAsia="en-GB"/>
        </w:rPr>
        <w:t>minimum</w:t>
      </w:r>
      <w:r w:rsidRPr="003869C1">
        <w:rPr>
          <w:rFonts w:ascii="Sabon" w:hAnsi="Sabon"/>
          <w:sz w:val="22"/>
          <w:szCs w:val="22"/>
          <w:lang w:val="en-US" w:eastAsia="en-GB"/>
        </w:rPr>
        <w:t xml:space="preserve"> wage, using </w:t>
      </w:r>
      <w:r w:rsidR="00813E75" w:rsidRPr="003869C1">
        <w:rPr>
          <w:rFonts w:ascii="Sabon" w:hAnsi="Sabon"/>
          <w:sz w:val="22"/>
          <w:szCs w:val="22"/>
          <w:lang w:val="en-US" w:eastAsia="en-GB"/>
        </w:rPr>
        <w:t>one</w:t>
      </w:r>
      <w:r w:rsidRPr="003869C1">
        <w:rPr>
          <w:rFonts w:ascii="Sabon" w:hAnsi="Sabon"/>
          <w:sz w:val="22"/>
          <w:szCs w:val="22"/>
          <w:lang w:val="en-US" w:eastAsia="en-GB"/>
        </w:rPr>
        <w:t xml:space="preserve"> </w:t>
      </w:r>
      <w:r w:rsidR="00813E75" w:rsidRPr="003869C1">
        <w:rPr>
          <w:rFonts w:ascii="Sabon" w:hAnsi="Sabon"/>
          <w:sz w:val="22"/>
          <w:szCs w:val="22"/>
          <w:lang w:val="en-US" w:eastAsia="en-GB"/>
        </w:rPr>
        <w:t>or</w:t>
      </w:r>
      <w:r w:rsidRPr="003869C1">
        <w:rPr>
          <w:rFonts w:ascii="Sabon" w:hAnsi="Sabon"/>
          <w:sz w:val="22"/>
          <w:szCs w:val="22"/>
          <w:lang w:val="en-US" w:eastAsia="en-GB"/>
        </w:rPr>
        <w:t xml:space="preserve"> more </w:t>
      </w:r>
      <w:r w:rsidR="00813E75" w:rsidRPr="003869C1">
        <w:rPr>
          <w:rFonts w:ascii="Sabon" w:hAnsi="Sabon"/>
          <w:sz w:val="22"/>
          <w:szCs w:val="22"/>
          <w:lang w:val="en-US" w:eastAsia="en-GB"/>
        </w:rPr>
        <w:t>of</w:t>
      </w:r>
      <w:r w:rsidRPr="003869C1">
        <w:rPr>
          <w:rFonts w:ascii="Sabon" w:hAnsi="Sabon"/>
          <w:sz w:val="22"/>
          <w:szCs w:val="22"/>
          <w:lang w:val="en-US" w:eastAsia="en-GB"/>
        </w:rPr>
        <w:t xml:space="preserve"> the strategies described above. These attacks on low </w:t>
      </w:r>
      <w:r w:rsidR="00813E75" w:rsidRPr="003869C1">
        <w:rPr>
          <w:rFonts w:ascii="Sabon" w:hAnsi="Sabon"/>
          <w:sz w:val="22"/>
          <w:szCs w:val="22"/>
          <w:lang w:val="en-US" w:eastAsia="en-GB"/>
        </w:rPr>
        <w:t>paid</w:t>
      </w:r>
      <w:r w:rsidRPr="003869C1">
        <w:rPr>
          <w:rFonts w:ascii="Sabon" w:hAnsi="Sabon"/>
          <w:sz w:val="22"/>
          <w:szCs w:val="22"/>
          <w:lang w:val="en-US" w:eastAsia="en-GB"/>
        </w:rPr>
        <w:t xml:space="preserve"> workers </w:t>
      </w:r>
      <w:r w:rsidR="00FA3539" w:rsidRPr="003869C1">
        <w:rPr>
          <w:rFonts w:ascii="Sabon" w:hAnsi="Sabon"/>
          <w:sz w:val="22"/>
          <w:szCs w:val="22"/>
          <w:lang w:val="en-US" w:eastAsia="en-GB"/>
        </w:rPr>
        <w:t>demand a push back from</w:t>
      </w:r>
      <w:r w:rsidR="00BE2E50" w:rsidRPr="003869C1">
        <w:rPr>
          <w:rFonts w:ascii="Sabon" w:hAnsi="Sabon"/>
          <w:sz w:val="22"/>
          <w:szCs w:val="22"/>
          <w:lang w:val="en-US" w:eastAsia="en-GB"/>
        </w:rPr>
        <w:t xml:space="preserve"> </w:t>
      </w:r>
      <w:r w:rsidR="00813E75" w:rsidRPr="003869C1">
        <w:rPr>
          <w:rFonts w:ascii="Sabon" w:hAnsi="Sabon"/>
          <w:sz w:val="22"/>
          <w:szCs w:val="22"/>
          <w:lang w:val="en-US" w:eastAsia="en-GB"/>
        </w:rPr>
        <w:t>government,</w:t>
      </w:r>
      <w:r w:rsidR="00FA3539" w:rsidRPr="003869C1">
        <w:rPr>
          <w:rFonts w:ascii="Sabon" w:hAnsi="Sabon"/>
          <w:sz w:val="22"/>
          <w:szCs w:val="22"/>
          <w:lang w:val="en-US" w:eastAsia="en-GB"/>
        </w:rPr>
        <w:t xml:space="preserve"> in the form of effective and visible enforcement</w:t>
      </w:r>
      <w:r w:rsidRPr="003869C1">
        <w:rPr>
          <w:rFonts w:ascii="Sabon" w:hAnsi="Sabon"/>
          <w:sz w:val="22"/>
          <w:szCs w:val="22"/>
          <w:lang w:val="en-US" w:eastAsia="en-GB"/>
        </w:rPr>
        <w:t xml:space="preserve"> of the existing rules and </w:t>
      </w:r>
      <w:r w:rsidR="00813E75" w:rsidRPr="003869C1">
        <w:rPr>
          <w:rFonts w:ascii="Sabon" w:hAnsi="Sabon"/>
          <w:sz w:val="22"/>
          <w:szCs w:val="22"/>
          <w:lang w:val="en-US" w:eastAsia="en-GB"/>
        </w:rPr>
        <w:t>strengthening</w:t>
      </w:r>
      <w:r w:rsidRPr="003869C1">
        <w:rPr>
          <w:rFonts w:ascii="Sabon" w:hAnsi="Sabon"/>
          <w:sz w:val="22"/>
          <w:szCs w:val="22"/>
          <w:lang w:val="en-US" w:eastAsia="en-GB"/>
        </w:rPr>
        <w:t xml:space="preserve"> of the regime wherever this proves necessary</w:t>
      </w:r>
      <w:r w:rsidR="00813E75" w:rsidRPr="003869C1">
        <w:rPr>
          <w:rFonts w:ascii="Sabon" w:hAnsi="Sabon"/>
          <w:sz w:val="22"/>
          <w:szCs w:val="22"/>
          <w:lang w:val="en-US" w:eastAsia="en-GB"/>
        </w:rPr>
        <w:t>.</w:t>
      </w:r>
      <w:r w:rsidR="00FA3539" w:rsidRPr="003869C1">
        <w:rPr>
          <w:rFonts w:ascii="Sabon" w:hAnsi="Sabon"/>
          <w:sz w:val="22"/>
          <w:szCs w:val="22"/>
          <w:lang w:val="en-US" w:eastAsia="en-GB"/>
        </w:rPr>
        <w:t xml:space="preserve">  </w:t>
      </w:r>
    </w:p>
    <w:p w:rsidR="00113AB8" w:rsidRDefault="00113AB8" w:rsidP="00113AB8">
      <w:pPr>
        <w:spacing w:line="276" w:lineRule="auto"/>
        <w:rPr>
          <w:rFonts w:ascii="Sabon" w:hAnsi="Sabon"/>
          <w:sz w:val="22"/>
          <w:szCs w:val="22"/>
          <w:lang w:val="en-US" w:eastAsia="en-GB"/>
        </w:rPr>
      </w:pPr>
    </w:p>
    <w:p w:rsidR="00113AB8" w:rsidRPr="00113AB8" w:rsidRDefault="00113AB8" w:rsidP="00113AB8">
      <w:pPr>
        <w:spacing w:line="276" w:lineRule="auto"/>
        <w:rPr>
          <w:rFonts w:ascii="Sabon" w:hAnsi="Sabon"/>
          <w:b/>
          <w:i/>
          <w:sz w:val="22"/>
          <w:szCs w:val="22"/>
        </w:rPr>
      </w:pPr>
      <w:r w:rsidRPr="00113AB8">
        <w:rPr>
          <w:rFonts w:ascii="Sabon" w:hAnsi="Sabon"/>
          <w:b/>
          <w:i/>
          <w:sz w:val="22"/>
          <w:szCs w:val="22"/>
          <w:lang w:val="en-US" w:eastAsia="en-GB"/>
        </w:rPr>
        <w:t>T</w:t>
      </w:r>
      <w:r w:rsidRPr="00113AB8">
        <w:rPr>
          <w:rFonts w:ascii="Sabon" w:hAnsi="Sabon" w:cs="Arial"/>
          <w:b/>
          <w:i/>
          <w:sz w:val="22"/>
        </w:rPr>
        <w:t>UC recommendation</w:t>
      </w:r>
      <w:r w:rsidR="002B0AD5">
        <w:rPr>
          <w:rFonts w:ascii="Sabon" w:hAnsi="Sabon" w:cs="Arial"/>
          <w:b/>
          <w:i/>
          <w:sz w:val="22"/>
        </w:rPr>
        <w:t>s</w:t>
      </w:r>
      <w:r w:rsidRPr="00113AB8">
        <w:rPr>
          <w:rFonts w:ascii="Sabon" w:hAnsi="Sabon" w:cs="Arial"/>
          <w:b/>
          <w:i/>
          <w:sz w:val="22"/>
        </w:rPr>
        <w:t xml:space="preserve"> on </w:t>
      </w:r>
      <w:r w:rsidR="002B0AD5" w:rsidRPr="00113AB8">
        <w:rPr>
          <w:rFonts w:ascii="Sabon" w:hAnsi="Sabon" w:cs="Arial"/>
          <w:b/>
          <w:i/>
          <w:sz w:val="22"/>
        </w:rPr>
        <w:t>enforcement:</w:t>
      </w:r>
      <w:r w:rsidRPr="00113AB8">
        <w:rPr>
          <w:rFonts w:ascii="Sabon" w:hAnsi="Sabon" w:cs="Arial"/>
          <w:b/>
          <w:i/>
          <w:sz w:val="22"/>
        </w:rPr>
        <w:t xml:space="preserve"> </w:t>
      </w:r>
    </w:p>
    <w:p w:rsidR="00FA3539" w:rsidRDefault="00FA3539" w:rsidP="00FA3539">
      <w:pPr>
        <w:spacing w:line="276" w:lineRule="auto"/>
        <w:rPr>
          <w:rFonts w:ascii="Sabon" w:hAnsi="Sabon"/>
          <w:sz w:val="22"/>
          <w:szCs w:val="22"/>
          <w:lang w:val="en-US" w:eastAsia="en-GB"/>
        </w:rPr>
      </w:pPr>
    </w:p>
    <w:p w:rsidR="00113AB8" w:rsidRPr="009F05C6" w:rsidRDefault="00FA3539" w:rsidP="00FA3539">
      <w:pPr>
        <w:pStyle w:val="ListParagraph"/>
        <w:numPr>
          <w:ilvl w:val="0"/>
          <w:numId w:val="13"/>
        </w:numPr>
        <w:spacing w:line="276" w:lineRule="auto"/>
        <w:rPr>
          <w:rFonts w:ascii="Sabon" w:hAnsi="Sabon"/>
          <w:b/>
          <w:i/>
          <w:sz w:val="22"/>
          <w:szCs w:val="22"/>
        </w:rPr>
      </w:pPr>
      <w:r w:rsidRPr="00B47307">
        <w:rPr>
          <w:rFonts w:ascii="Sabon" w:hAnsi="Sabon" w:cs="Arial"/>
          <w:b/>
          <w:i/>
          <w:sz w:val="22"/>
        </w:rPr>
        <w:t xml:space="preserve">The LPC must keep up the pressure to improve the Government’s guidance on the NMW.  </w:t>
      </w:r>
    </w:p>
    <w:p w:rsidR="009F05C6" w:rsidRDefault="009F05C6" w:rsidP="00FA3539">
      <w:pPr>
        <w:pStyle w:val="ListParagraph"/>
        <w:numPr>
          <w:ilvl w:val="0"/>
          <w:numId w:val="13"/>
        </w:numPr>
        <w:spacing w:line="276" w:lineRule="auto"/>
        <w:rPr>
          <w:rFonts w:ascii="Sabon" w:hAnsi="Sabon"/>
          <w:b/>
          <w:i/>
          <w:sz w:val="22"/>
          <w:szCs w:val="22"/>
        </w:rPr>
      </w:pPr>
      <w:r>
        <w:rPr>
          <w:rFonts w:ascii="Sabon" w:hAnsi="Sabon" w:cs="Arial"/>
          <w:b/>
          <w:i/>
          <w:sz w:val="22"/>
        </w:rPr>
        <w:t>The guidance should reflect the sleep-over EAT cases.</w:t>
      </w:r>
    </w:p>
    <w:p w:rsidR="00113AB8" w:rsidRDefault="002B0AD5" w:rsidP="00FA3539">
      <w:pPr>
        <w:pStyle w:val="ListParagraph"/>
        <w:numPr>
          <w:ilvl w:val="0"/>
          <w:numId w:val="13"/>
        </w:numPr>
        <w:spacing w:line="276" w:lineRule="auto"/>
        <w:rPr>
          <w:rFonts w:ascii="Sabon" w:hAnsi="Sabon"/>
          <w:b/>
          <w:i/>
          <w:sz w:val="22"/>
          <w:szCs w:val="22"/>
        </w:rPr>
      </w:pPr>
      <w:r>
        <w:rPr>
          <w:rFonts w:ascii="Sabon" w:hAnsi="Sabon"/>
          <w:b/>
          <w:i/>
          <w:sz w:val="22"/>
          <w:szCs w:val="22"/>
        </w:rPr>
        <w:t>The</w:t>
      </w:r>
      <w:r w:rsidRPr="00B47307">
        <w:rPr>
          <w:rFonts w:ascii="Sabon" w:hAnsi="Sabon"/>
          <w:b/>
          <w:i/>
          <w:sz w:val="22"/>
          <w:szCs w:val="22"/>
        </w:rPr>
        <w:t xml:space="preserve"> budgets</w:t>
      </w:r>
      <w:r w:rsidR="00FA3539" w:rsidRPr="00B47307">
        <w:rPr>
          <w:rFonts w:ascii="Sabon" w:hAnsi="Sabon"/>
          <w:b/>
          <w:i/>
          <w:sz w:val="22"/>
          <w:szCs w:val="22"/>
        </w:rPr>
        <w:t xml:space="preserve"> for NMW dissemination and enforcement should increase. </w:t>
      </w:r>
    </w:p>
    <w:p w:rsidR="00A65235" w:rsidRDefault="00FA3539" w:rsidP="00FA3539">
      <w:pPr>
        <w:pStyle w:val="ListParagraph"/>
        <w:numPr>
          <w:ilvl w:val="0"/>
          <w:numId w:val="13"/>
        </w:numPr>
        <w:spacing w:line="276" w:lineRule="auto"/>
        <w:rPr>
          <w:rFonts w:ascii="Sabon" w:hAnsi="Sabon"/>
          <w:b/>
          <w:i/>
          <w:sz w:val="22"/>
          <w:szCs w:val="22"/>
        </w:rPr>
      </w:pPr>
      <w:r w:rsidRPr="00B47307">
        <w:rPr>
          <w:rFonts w:ascii="Sabon" w:hAnsi="Sabon"/>
          <w:b/>
          <w:i/>
          <w:sz w:val="22"/>
          <w:szCs w:val="22"/>
        </w:rPr>
        <w:t xml:space="preserve">There should be </w:t>
      </w:r>
      <w:r w:rsidR="00113AB8">
        <w:rPr>
          <w:rFonts w:ascii="Sabon" w:hAnsi="Sabon"/>
          <w:b/>
          <w:i/>
          <w:sz w:val="22"/>
          <w:szCs w:val="22"/>
        </w:rPr>
        <w:t xml:space="preserve">a </w:t>
      </w:r>
      <w:r w:rsidR="002B25E5">
        <w:rPr>
          <w:rFonts w:ascii="Sabon" w:hAnsi="Sabon"/>
          <w:b/>
          <w:i/>
          <w:sz w:val="22"/>
          <w:szCs w:val="22"/>
        </w:rPr>
        <w:t xml:space="preserve">new </w:t>
      </w:r>
      <w:r w:rsidR="002B25E5" w:rsidRPr="00B47307">
        <w:rPr>
          <w:rFonts w:ascii="Sabon" w:hAnsi="Sabon"/>
          <w:b/>
          <w:i/>
          <w:sz w:val="22"/>
          <w:szCs w:val="22"/>
        </w:rPr>
        <w:t>prosecution</w:t>
      </w:r>
      <w:r w:rsidR="00113AB8">
        <w:rPr>
          <w:rFonts w:ascii="Sabon" w:hAnsi="Sabon"/>
          <w:b/>
          <w:i/>
          <w:sz w:val="22"/>
          <w:szCs w:val="22"/>
        </w:rPr>
        <w:t xml:space="preserve"> </w:t>
      </w:r>
      <w:r w:rsidR="002B0AD5">
        <w:rPr>
          <w:rFonts w:ascii="Sabon" w:hAnsi="Sabon"/>
          <w:b/>
          <w:i/>
          <w:sz w:val="22"/>
          <w:szCs w:val="22"/>
        </w:rPr>
        <w:t>strategy</w:t>
      </w:r>
      <w:r w:rsidR="00113AB8">
        <w:rPr>
          <w:rFonts w:ascii="Sabon" w:hAnsi="Sabon"/>
          <w:b/>
          <w:i/>
          <w:sz w:val="22"/>
          <w:szCs w:val="22"/>
        </w:rPr>
        <w:t xml:space="preserve"> for aggravated </w:t>
      </w:r>
      <w:r w:rsidR="002B0AD5">
        <w:rPr>
          <w:rFonts w:ascii="Sabon" w:hAnsi="Sabon"/>
          <w:b/>
          <w:i/>
          <w:sz w:val="22"/>
          <w:szCs w:val="22"/>
        </w:rPr>
        <w:t>offences</w:t>
      </w:r>
      <w:r w:rsidR="00A65235">
        <w:rPr>
          <w:rFonts w:ascii="Sabon" w:hAnsi="Sabon"/>
          <w:b/>
          <w:i/>
          <w:sz w:val="22"/>
          <w:szCs w:val="22"/>
        </w:rPr>
        <w:t xml:space="preserve"> such as keeping false records and obstructing HMRC’s investigation. Repeat offenders should also be prosecuted.</w:t>
      </w:r>
    </w:p>
    <w:p w:rsidR="00113AB8" w:rsidRDefault="00A65235" w:rsidP="00FA3539">
      <w:pPr>
        <w:pStyle w:val="ListParagraph"/>
        <w:numPr>
          <w:ilvl w:val="0"/>
          <w:numId w:val="13"/>
        </w:numPr>
        <w:spacing w:line="276" w:lineRule="auto"/>
        <w:rPr>
          <w:rFonts w:ascii="Sabon" w:hAnsi="Sabon"/>
          <w:b/>
          <w:i/>
          <w:sz w:val="22"/>
          <w:szCs w:val="22"/>
        </w:rPr>
      </w:pPr>
      <w:r>
        <w:rPr>
          <w:rFonts w:ascii="Sabon" w:hAnsi="Sabon"/>
          <w:b/>
          <w:i/>
          <w:sz w:val="22"/>
          <w:szCs w:val="22"/>
        </w:rPr>
        <w:t xml:space="preserve">The </w:t>
      </w:r>
      <w:r w:rsidR="002B0AD5">
        <w:rPr>
          <w:rFonts w:ascii="Sabon" w:hAnsi="Sabon"/>
          <w:b/>
          <w:i/>
          <w:sz w:val="22"/>
          <w:szCs w:val="22"/>
        </w:rPr>
        <w:t>maximum</w:t>
      </w:r>
      <w:r>
        <w:rPr>
          <w:rFonts w:ascii="Sabon" w:hAnsi="Sabon"/>
          <w:b/>
          <w:i/>
          <w:sz w:val="22"/>
          <w:szCs w:val="22"/>
        </w:rPr>
        <w:t xml:space="preserve"> penalties for </w:t>
      </w:r>
      <w:r w:rsidR="002B0AD5">
        <w:rPr>
          <w:rFonts w:ascii="Sabon" w:hAnsi="Sabon"/>
          <w:b/>
          <w:i/>
          <w:sz w:val="22"/>
          <w:szCs w:val="22"/>
        </w:rPr>
        <w:t>prosecutions</w:t>
      </w:r>
      <w:r>
        <w:rPr>
          <w:rFonts w:ascii="Sabon" w:hAnsi="Sabon"/>
          <w:b/>
          <w:i/>
          <w:sz w:val="22"/>
          <w:szCs w:val="22"/>
        </w:rPr>
        <w:t xml:space="preserve"> </w:t>
      </w:r>
      <w:r w:rsidR="00FA3539" w:rsidRPr="00B47307">
        <w:rPr>
          <w:rFonts w:ascii="Sabon" w:hAnsi="Sabon"/>
          <w:b/>
          <w:i/>
          <w:sz w:val="22"/>
          <w:szCs w:val="22"/>
        </w:rPr>
        <w:t xml:space="preserve"> </w:t>
      </w:r>
      <w:r>
        <w:rPr>
          <w:rFonts w:ascii="Sabon" w:hAnsi="Sabon"/>
          <w:b/>
          <w:i/>
          <w:sz w:val="22"/>
          <w:szCs w:val="22"/>
        </w:rPr>
        <w:t xml:space="preserve">under the NMW Act should be greatly </w:t>
      </w:r>
      <w:r w:rsidR="002B0AD5">
        <w:rPr>
          <w:rFonts w:ascii="Sabon" w:hAnsi="Sabon"/>
          <w:b/>
          <w:i/>
          <w:sz w:val="22"/>
          <w:szCs w:val="22"/>
        </w:rPr>
        <w:t>increased</w:t>
      </w:r>
    </w:p>
    <w:p w:rsidR="00113AB8" w:rsidRDefault="00113AB8" w:rsidP="00FA3539">
      <w:pPr>
        <w:pStyle w:val="ListParagraph"/>
        <w:numPr>
          <w:ilvl w:val="0"/>
          <w:numId w:val="13"/>
        </w:numPr>
        <w:spacing w:line="276" w:lineRule="auto"/>
        <w:rPr>
          <w:rFonts w:ascii="Sabon" w:hAnsi="Sabon"/>
          <w:b/>
          <w:i/>
          <w:sz w:val="22"/>
          <w:szCs w:val="22"/>
        </w:rPr>
      </w:pPr>
      <w:r>
        <w:rPr>
          <w:rFonts w:ascii="Sabon" w:hAnsi="Sabon"/>
          <w:b/>
          <w:i/>
          <w:sz w:val="22"/>
          <w:szCs w:val="22"/>
        </w:rPr>
        <w:t xml:space="preserve">The LPC should </w:t>
      </w:r>
      <w:r w:rsidR="002B0AD5">
        <w:rPr>
          <w:rFonts w:ascii="Sabon" w:hAnsi="Sabon"/>
          <w:b/>
          <w:i/>
          <w:sz w:val="22"/>
          <w:szCs w:val="22"/>
        </w:rPr>
        <w:t>ensure</w:t>
      </w:r>
      <w:r>
        <w:rPr>
          <w:rFonts w:ascii="Sabon" w:hAnsi="Sabon"/>
          <w:b/>
          <w:i/>
          <w:sz w:val="22"/>
          <w:szCs w:val="22"/>
        </w:rPr>
        <w:t xml:space="preserve"> that all employers caught underpaying are named.</w:t>
      </w:r>
    </w:p>
    <w:p w:rsidR="00113AB8" w:rsidRDefault="002B0AD5" w:rsidP="00FA3539">
      <w:pPr>
        <w:pStyle w:val="ListParagraph"/>
        <w:numPr>
          <w:ilvl w:val="0"/>
          <w:numId w:val="13"/>
        </w:numPr>
        <w:spacing w:line="276" w:lineRule="auto"/>
        <w:rPr>
          <w:rFonts w:ascii="Sabon" w:hAnsi="Sabon"/>
          <w:b/>
          <w:i/>
          <w:sz w:val="22"/>
          <w:szCs w:val="22"/>
        </w:rPr>
      </w:pPr>
      <w:r>
        <w:rPr>
          <w:rFonts w:ascii="Sabon" w:hAnsi="Sabon"/>
          <w:b/>
          <w:i/>
          <w:sz w:val="22"/>
          <w:szCs w:val="22"/>
        </w:rPr>
        <w:t>Government</w:t>
      </w:r>
      <w:r w:rsidR="00113AB8">
        <w:rPr>
          <w:rFonts w:ascii="Sabon" w:hAnsi="Sabon"/>
          <w:b/>
          <w:i/>
          <w:sz w:val="22"/>
          <w:szCs w:val="22"/>
        </w:rPr>
        <w:t xml:space="preserve"> should </w:t>
      </w:r>
      <w:r>
        <w:rPr>
          <w:rFonts w:ascii="Sabon" w:hAnsi="Sabon"/>
          <w:b/>
          <w:i/>
          <w:sz w:val="22"/>
          <w:szCs w:val="22"/>
        </w:rPr>
        <w:t>guarantee</w:t>
      </w:r>
      <w:r w:rsidR="00113AB8">
        <w:rPr>
          <w:rFonts w:ascii="Sabon" w:hAnsi="Sabon"/>
          <w:b/>
          <w:i/>
          <w:sz w:val="22"/>
          <w:szCs w:val="22"/>
        </w:rPr>
        <w:t xml:space="preserve"> the payment of </w:t>
      </w:r>
      <w:r>
        <w:rPr>
          <w:rFonts w:ascii="Sabon" w:hAnsi="Sabon"/>
          <w:b/>
          <w:i/>
          <w:sz w:val="22"/>
          <w:szCs w:val="22"/>
        </w:rPr>
        <w:t>minimum</w:t>
      </w:r>
      <w:r w:rsidR="00113AB8">
        <w:rPr>
          <w:rFonts w:ascii="Sabon" w:hAnsi="Sabon"/>
          <w:b/>
          <w:i/>
          <w:sz w:val="22"/>
          <w:szCs w:val="22"/>
        </w:rPr>
        <w:t xml:space="preserve"> wage arrears in cases where they cannot be </w:t>
      </w:r>
      <w:r>
        <w:rPr>
          <w:rFonts w:ascii="Sabon" w:hAnsi="Sabon"/>
          <w:b/>
          <w:i/>
          <w:sz w:val="22"/>
          <w:szCs w:val="22"/>
        </w:rPr>
        <w:t>recovered</w:t>
      </w:r>
      <w:r w:rsidR="00113AB8">
        <w:rPr>
          <w:rFonts w:ascii="Sabon" w:hAnsi="Sabon"/>
          <w:b/>
          <w:i/>
          <w:sz w:val="22"/>
          <w:szCs w:val="22"/>
        </w:rPr>
        <w:t xml:space="preserve"> </w:t>
      </w:r>
      <w:r>
        <w:rPr>
          <w:rFonts w:ascii="Sabon" w:hAnsi="Sabon"/>
          <w:b/>
          <w:i/>
          <w:sz w:val="22"/>
          <w:szCs w:val="22"/>
        </w:rPr>
        <w:t>because</w:t>
      </w:r>
      <w:r w:rsidR="00113AB8">
        <w:rPr>
          <w:rFonts w:ascii="Sabon" w:hAnsi="Sabon"/>
          <w:b/>
          <w:i/>
          <w:sz w:val="22"/>
          <w:szCs w:val="22"/>
        </w:rPr>
        <w:t xml:space="preserve"> the employer is bankrupt or has absconded.</w:t>
      </w:r>
    </w:p>
    <w:p w:rsidR="00A65235" w:rsidRDefault="00A65235" w:rsidP="00FA3539">
      <w:pPr>
        <w:pStyle w:val="ListParagraph"/>
        <w:numPr>
          <w:ilvl w:val="0"/>
          <w:numId w:val="13"/>
        </w:numPr>
        <w:spacing w:line="276" w:lineRule="auto"/>
        <w:rPr>
          <w:rFonts w:ascii="Sabon" w:hAnsi="Sabon"/>
          <w:b/>
          <w:i/>
          <w:sz w:val="22"/>
          <w:szCs w:val="22"/>
        </w:rPr>
      </w:pPr>
      <w:r>
        <w:rPr>
          <w:rFonts w:ascii="Sabon" w:hAnsi="Sabon"/>
          <w:b/>
          <w:i/>
          <w:sz w:val="22"/>
          <w:szCs w:val="22"/>
        </w:rPr>
        <w:t xml:space="preserve">A new legal </w:t>
      </w:r>
      <w:r w:rsidR="002B0AD5">
        <w:rPr>
          <w:rFonts w:ascii="Sabon" w:hAnsi="Sabon"/>
          <w:b/>
          <w:i/>
          <w:sz w:val="22"/>
          <w:szCs w:val="22"/>
        </w:rPr>
        <w:t>gateway</w:t>
      </w:r>
      <w:r>
        <w:rPr>
          <w:rFonts w:ascii="Sabon" w:hAnsi="Sabon"/>
          <w:b/>
          <w:i/>
          <w:sz w:val="22"/>
          <w:szCs w:val="22"/>
        </w:rPr>
        <w:t xml:space="preserve"> should be </w:t>
      </w:r>
      <w:r w:rsidR="002B0AD5">
        <w:rPr>
          <w:rFonts w:ascii="Sabon" w:hAnsi="Sabon"/>
          <w:b/>
          <w:i/>
          <w:sz w:val="22"/>
          <w:szCs w:val="22"/>
        </w:rPr>
        <w:t>created</w:t>
      </w:r>
      <w:r>
        <w:rPr>
          <w:rFonts w:ascii="Sabon" w:hAnsi="Sabon"/>
          <w:b/>
          <w:i/>
          <w:sz w:val="22"/>
          <w:szCs w:val="22"/>
        </w:rPr>
        <w:t xml:space="preserve"> so that HMRC can discuss </w:t>
      </w:r>
      <w:r w:rsidR="002B0AD5">
        <w:rPr>
          <w:rFonts w:ascii="Sabon" w:hAnsi="Sabon"/>
          <w:b/>
          <w:i/>
          <w:sz w:val="22"/>
          <w:szCs w:val="22"/>
        </w:rPr>
        <w:t>minimum</w:t>
      </w:r>
      <w:r>
        <w:rPr>
          <w:rFonts w:ascii="Sabon" w:hAnsi="Sabon"/>
          <w:b/>
          <w:i/>
          <w:sz w:val="22"/>
          <w:szCs w:val="22"/>
        </w:rPr>
        <w:t xml:space="preserve"> wage cases with local authorities or the MCA, where relevant.</w:t>
      </w:r>
    </w:p>
    <w:p w:rsidR="00A65235" w:rsidRDefault="005A2B6B" w:rsidP="00FA3539">
      <w:pPr>
        <w:pStyle w:val="ListParagraph"/>
        <w:numPr>
          <w:ilvl w:val="0"/>
          <w:numId w:val="13"/>
        </w:numPr>
        <w:spacing w:line="276" w:lineRule="auto"/>
        <w:rPr>
          <w:rFonts w:ascii="Sabon" w:hAnsi="Sabon"/>
          <w:b/>
          <w:i/>
          <w:sz w:val="22"/>
          <w:szCs w:val="22"/>
        </w:rPr>
      </w:pPr>
      <w:r>
        <w:rPr>
          <w:rFonts w:ascii="Sabon" w:hAnsi="Sabon"/>
          <w:b/>
          <w:i/>
          <w:sz w:val="22"/>
          <w:szCs w:val="22"/>
        </w:rPr>
        <w:t xml:space="preserve">There must be </w:t>
      </w:r>
      <w:r w:rsidR="002B0AD5">
        <w:rPr>
          <w:rFonts w:ascii="Sabon" w:hAnsi="Sabon"/>
          <w:b/>
          <w:i/>
          <w:sz w:val="22"/>
          <w:szCs w:val="22"/>
        </w:rPr>
        <w:t>sustained and ongoing attempt</w:t>
      </w:r>
      <w:r>
        <w:rPr>
          <w:rFonts w:ascii="Sabon" w:hAnsi="Sabon"/>
          <w:b/>
          <w:i/>
          <w:sz w:val="22"/>
          <w:szCs w:val="22"/>
        </w:rPr>
        <w:t>s</w:t>
      </w:r>
      <w:r w:rsidR="002B0AD5">
        <w:rPr>
          <w:rFonts w:ascii="Sabon" w:hAnsi="Sabon"/>
          <w:b/>
          <w:i/>
          <w:sz w:val="22"/>
          <w:szCs w:val="22"/>
        </w:rPr>
        <w:t xml:space="preserve"> to enforce the minimum wage, covering both employers who try to deny workers the NMW by wrongly calling them self-employed, interns or volunteers, groups that are excluded from the full protection of the act, such as domestic workers and seafarers, and high risk sectors of employment.</w:t>
      </w:r>
    </w:p>
    <w:p w:rsidR="00A65235" w:rsidRDefault="00A65235" w:rsidP="00FA3539">
      <w:pPr>
        <w:pStyle w:val="ListParagraph"/>
        <w:numPr>
          <w:ilvl w:val="0"/>
          <w:numId w:val="13"/>
        </w:numPr>
        <w:spacing w:line="276" w:lineRule="auto"/>
        <w:rPr>
          <w:rFonts w:ascii="Sabon" w:hAnsi="Sabon"/>
          <w:b/>
          <w:i/>
          <w:sz w:val="22"/>
          <w:szCs w:val="22"/>
        </w:rPr>
      </w:pPr>
      <w:r>
        <w:rPr>
          <w:rFonts w:ascii="Sabon" w:hAnsi="Sabon"/>
          <w:b/>
          <w:i/>
          <w:sz w:val="22"/>
          <w:szCs w:val="22"/>
        </w:rPr>
        <w:t>There is ever-</w:t>
      </w:r>
      <w:r w:rsidR="002B0AD5">
        <w:rPr>
          <w:rFonts w:ascii="Sabon" w:hAnsi="Sabon"/>
          <w:b/>
          <w:i/>
          <w:sz w:val="22"/>
          <w:szCs w:val="22"/>
        </w:rPr>
        <w:t>growing</w:t>
      </w:r>
      <w:r>
        <w:rPr>
          <w:rFonts w:ascii="Sabon" w:hAnsi="Sabon"/>
          <w:b/>
          <w:i/>
          <w:sz w:val="22"/>
          <w:szCs w:val="22"/>
        </w:rPr>
        <w:t xml:space="preserve"> concern about the social care sector. </w:t>
      </w:r>
      <w:r w:rsidR="002B0AD5">
        <w:rPr>
          <w:rFonts w:ascii="Sabon" w:hAnsi="Sabon"/>
          <w:b/>
          <w:i/>
          <w:sz w:val="22"/>
          <w:szCs w:val="22"/>
        </w:rPr>
        <w:t>Targeted</w:t>
      </w:r>
      <w:r>
        <w:rPr>
          <w:rFonts w:ascii="Sabon" w:hAnsi="Sabon"/>
          <w:b/>
          <w:i/>
          <w:sz w:val="22"/>
          <w:szCs w:val="22"/>
        </w:rPr>
        <w:t xml:space="preserve"> enforcement in this </w:t>
      </w:r>
      <w:r w:rsidR="002B0AD5">
        <w:rPr>
          <w:rFonts w:ascii="Sabon" w:hAnsi="Sabon"/>
          <w:b/>
          <w:i/>
          <w:sz w:val="22"/>
          <w:szCs w:val="22"/>
        </w:rPr>
        <w:t>sector</w:t>
      </w:r>
      <w:r>
        <w:rPr>
          <w:rFonts w:ascii="Sabon" w:hAnsi="Sabon"/>
          <w:b/>
          <w:i/>
          <w:sz w:val="22"/>
          <w:szCs w:val="22"/>
        </w:rPr>
        <w:t xml:space="preserve"> should continue, </w:t>
      </w:r>
      <w:r w:rsidR="002B0AD5">
        <w:rPr>
          <w:rFonts w:ascii="Sabon" w:hAnsi="Sabon"/>
          <w:b/>
          <w:i/>
          <w:sz w:val="22"/>
          <w:szCs w:val="22"/>
        </w:rPr>
        <w:t>but a</w:t>
      </w:r>
      <w:r>
        <w:rPr>
          <w:rFonts w:ascii="Sabon" w:hAnsi="Sabon"/>
          <w:b/>
          <w:i/>
          <w:sz w:val="22"/>
          <w:szCs w:val="22"/>
        </w:rPr>
        <w:t xml:space="preserve"> longer term solution involving more equitable funding is also needed.</w:t>
      </w:r>
    </w:p>
    <w:p w:rsidR="00FA3539" w:rsidRPr="00B47307" w:rsidRDefault="00FA3539" w:rsidP="002B25E5">
      <w:pPr>
        <w:pStyle w:val="ListParagraph"/>
        <w:spacing w:line="276" w:lineRule="auto"/>
        <w:rPr>
          <w:rFonts w:ascii="Sabon" w:hAnsi="Sabon"/>
          <w:b/>
          <w:i/>
          <w:sz w:val="22"/>
          <w:szCs w:val="22"/>
        </w:rPr>
      </w:pPr>
    </w:p>
    <w:p w:rsidR="00AC5857" w:rsidRDefault="00AC5857" w:rsidP="00AC5857">
      <w:pPr>
        <w:pStyle w:val="T5TextBody"/>
        <w:rPr>
          <w:rFonts w:ascii="Frutiger 55" w:hAnsi="Frutiger 55"/>
          <w:b/>
        </w:rPr>
      </w:pPr>
      <w:r>
        <w:rPr>
          <w:rFonts w:ascii="Frutiger 55" w:hAnsi="Frutiger 55"/>
          <w:b/>
        </w:rPr>
        <w:t xml:space="preserve">10 Wider measures to tackle low pay </w:t>
      </w:r>
    </w:p>
    <w:p w:rsidR="00D83E9A" w:rsidRPr="00D83E9A" w:rsidRDefault="00D83E9A" w:rsidP="00AC5857">
      <w:pPr>
        <w:pStyle w:val="T5TextBody"/>
        <w:spacing w:line="276" w:lineRule="auto"/>
        <w:rPr>
          <w:b/>
        </w:rPr>
      </w:pPr>
      <w:r w:rsidRPr="00D83E9A">
        <w:rPr>
          <w:b/>
        </w:rPr>
        <w:t>The living wage</w:t>
      </w:r>
    </w:p>
    <w:p w:rsidR="00AC5857" w:rsidRPr="003869C1" w:rsidRDefault="00AC5857" w:rsidP="003869C1">
      <w:pPr>
        <w:pStyle w:val="T5TextBody"/>
        <w:spacing w:line="276" w:lineRule="auto"/>
        <w:rPr>
          <w:szCs w:val="22"/>
        </w:rPr>
      </w:pPr>
      <w:r w:rsidRPr="003869C1">
        <w:rPr>
          <w:szCs w:val="22"/>
        </w:rPr>
        <w:t xml:space="preserve">The living wage is based on a calculation of what workers need to live on, assuming that they claim all the tax credits and benefits that they are entitled to. It is calculated by the GLA in London, and, at the request of the Living Wage Foundation, by the </w:t>
      </w:r>
      <w:r w:rsidRPr="003869C1">
        <w:rPr>
          <w:rFonts w:cs="Arial"/>
          <w:szCs w:val="22"/>
        </w:rPr>
        <w:t>Centre for Research in Social Policy at Loughborough University for the rest of the country. There are some moves underway to explore whether the two formulae can be harmonised.</w:t>
      </w:r>
    </w:p>
    <w:p w:rsidR="00AC5857" w:rsidRPr="003869C1" w:rsidRDefault="00AC5857" w:rsidP="003869C1">
      <w:pPr>
        <w:pStyle w:val="T5TextBody"/>
        <w:spacing w:line="276" w:lineRule="auto"/>
        <w:rPr>
          <w:szCs w:val="22"/>
        </w:rPr>
      </w:pPr>
      <w:r w:rsidRPr="003869C1">
        <w:rPr>
          <w:szCs w:val="22"/>
        </w:rPr>
        <w:lastRenderedPageBreak/>
        <w:t>The living wage campaign has achieved a great deal of political traction.</w:t>
      </w:r>
    </w:p>
    <w:p w:rsidR="00AC5857" w:rsidRPr="003869C1" w:rsidRDefault="00AC5857" w:rsidP="003869C1">
      <w:pPr>
        <w:pStyle w:val="ListParagraph"/>
        <w:widowControl/>
        <w:numPr>
          <w:ilvl w:val="0"/>
          <w:numId w:val="22"/>
        </w:numPr>
        <w:spacing w:after="200" w:line="276" w:lineRule="auto"/>
        <w:contextualSpacing/>
        <w:rPr>
          <w:rFonts w:ascii="Sabon" w:hAnsi="Sabon"/>
          <w:sz w:val="22"/>
          <w:szCs w:val="22"/>
        </w:rPr>
      </w:pPr>
      <w:r w:rsidRPr="003869C1">
        <w:rPr>
          <w:rFonts w:ascii="Sabon" w:hAnsi="Sabon"/>
          <w:sz w:val="22"/>
          <w:szCs w:val="22"/>
        </w:rPr>
        <w:t>The Labour and Conservative leaders and the Mayor of London all offer support</w:t>
      </w:r>
    </w:p>
    <w:p w:rsidR="00AC5857" w:rsidRPr="003869C1" w:rsidRDefault="00AC5857" w:rsidP="003869C1">
      <w:pPr>
        <w:pStyle w:val="ListParagraph"/>
        <w:widowControl/>
        <w:numPr>
          <w:ilvl w:val="0"/>
          <w:numId w:val="22"/>
        </w:numPr>
        <w:spacing w:after="200" w:line="276" w:lineRule="auto"/>
        <w:contextualSpacing/>
        <w:rPr>
          <w:rFonts w:ascii="Sabon" w:hAnsi="Sabon"/>
          <w:sz w:val="22"/>
          <w:szCs w:val="22"/>
        </w:rPr>
      </w:pPr>
      <w:r w:rsidRPr="003869C1">
        <w:rPr>
          <w:rFonts w:ascii="Sabon" w:hAnsi="Sabon"/>
          <w:sz w:val="22"/>
          <w:szCs w:val="22"/>
        </w:rPr>
        <w:t xml:space="preserve">The number of businesses paying the living wage and accredited by the Foundation has more than doubled in the past year. </w:t>
      </w:r>
    </w:p>
    <w:p w:rsidR="00AC5857" w:rsidRPr="003869C1" w:rsidRDefault="00AC5857" w:rsidP="003869C1">
      <w:pPr>
        <w:pStyle w:val="ListParagraph"/>
        <w:widowControl/>
        <w:numPr>
          <w:ilvl w:val="0"/>
          <w:numId w:val="22"/>
        </w:numPr>
        <w:spacing w:after="200" w:line="276" w:lineRule="auto"/>
        <w:contextualSpacing/>
        <w:rPr>
          <w:rFonts w:ascii="Sabon" w:hAnsi="Sabon"/>
          <w:sz w:val="22"/>
          <w:szCs w:val="22"/>
        </w:rPr>
      </w:pPr>
      <w:r w:rsidRPr="003869C1">
        <w:rPr>
          <w:rFonts w:ascii="Sabon" w:hAnsi="Sabon"/>
          <w:sz w:val="22"/>
          <w:szCs w:val="22"/>
        </w:rPr>
        <w:t xml:space="preserve">More than 600 employers have been accredited so far, including 10 FTSE100 companies, the TUC and a number of trade unions.  </w:t>
      </w:r>
    </w:p>
    <w:p w:rsidR="00AC5857" w:rsidRPr="003869C1" w:rsidRDefault="00AC5857" w:rsidP="003869C1">
      <w:pPr>
        <w:pStyle w:val="ListParagraph"/>
        <w:widowControl/>
        <w:numPr>
          <w:ilvl w:val="0"/>
          <w:numId w:val="22"/>
        </w:numPr>
        <w:spacing w:after="200" w:line="276" w:lineRule="auto"/>
        <w:contextualSpacing/>
        <w:rPr>
          <w:rFonts w:ascii="Sabon" w:hAnsi="Sabon"/>
          <w:sz w:val="22"/>
          <w:szCs w:val="22"/>
        </w:rPr>
      </w:pPr>
      <w:r w:rsidRPr="003869C1">
        <w:rPr>
          <w:rFonts w:ascii="Sabon" w:hAnsi="Sabon"/>
          <w:sz w:val="22"/>
          <w:szCs w:val="22"/>
        </w:rPr>
        <w:t>Many more are paying the living wage but still to be accredited, including about 130 local authorities.</w:t>
      </w:r>
    </w:p>
    <w:p w:rsidR="00AC5857" w:rsidRPr="003869C1" w:rsidRDefault="00AC5857" w:rsidP="003869C1">
      <w:pPr>
        <w:pStyle w:val="T5TextBody"/>
        <w:spacing w:line="276" w:lineRule="auto"/>
        <w:rPr>
          <w:szCs w:val="22"/>
        </w:rPr>
      </w:pPr>
      <w:r w:rsidRPr="003869C1">
        <w:rPr>
          <w:szCs w:val="22"/>
        </w:rPr>
        <w:t xml:space="preserve">The TUC campaigns strongly for the living wage and TUC General Secretary Frances O’Grady has contributed to the report of the </w:t>
      </w:r>
      <w:r w:rsidR="00796177">
        <w:rPr>
          <w:szCs w:val="22"/>
        </w:rPr>
        <w:t>L</w:t>
      </w:r>
      <w:r w:rsidRPr="003869C1">
        <w:rPr>
          <w:szCs w:val="22"/>
        </w:rPr>
        <w:t xml:space="preserve">iving </w:t>
      </w:r>
      <w:r w:rsidR="00796177">
        <w:rPr>
          <w:szCs w:val="22"/>
        </w:rPr>
        <w:t>W</w:t>
      </w:r>
      <w:r w:rsidRPr="003869C1">
        <w:rPr>
          <w:szCs w:val="22"/>
        </w:rPr>
        <w:t xml:space="preserve">age </w:t>
      </w:r>
      <w:r w:rsidR="00796177">
        <w:rPr>
          <w:szCs w:val="22"/>
        </w:rPr>
        <w:t>C</w:t>
      </w:r>
      <w:r w:rsidRPr="003869C1">
        <w:rPr>
          <w:szCs w:val="22"/>
        </w:rPr>
        <w:t>ommission convened by Archbishop Sentamu, which aims to lift a million workers up the living wage during the next parliament, balancing roll</w:t>
      </w:r>
      <w:r w:rsidR="00B97B0A" w:rsidRPr="003869C1">
        <w:rPr>
          <w:szCs w:val="22"/>
        </w:rPr>
        <w:t>-</w:t>
      </w:r>
      <w:r w:rsidRPr="003869C1">
        <w:rPr>
          <w:szCs w:val="22"/>
        </w:rPr>
        <w:t>out in the public sector with a campaign to persuade some generally well-paid industries to adopt this minimum standard</w:t>
      </w:r>
      <w:r w:rsidRPr="003869C1">
        <w:rPr>
          <w:rStyle w:val="FootnoteReference"/>
          <w:sz w:val="22"/>
          <w:szCs w:val="22"/>
        </w:rPr>
        <w:footnoteReference w:id="63"/>
      </w:r>
      <w:r w:rsidRPr="003869C1">
        <w:rPr>
          <w:szCs w:val="22"/>
        </w:rPr>
        <w:t xml:space="preserve">. </w:t>
      </w:r>
    </w:p>
    <w:p w:rsidR="00AC5857" w:rsidRPr="003869C1" w:rsidRDefault="00AC5857" w:rsidP="003869C1">
      <w:pPr>
        <w:pStyle w:val="T5TextBody"/>
        <w:spacing w:line="276" w:lineRule="auto"/>
        <w:rPr>
          <w:szCs w:val="22"/>
        </w:rPr>
      </w:pPr>
      <w:r w:rsidRPr="003869C1">
        <w:rPr>
          <w:szCs w:val="22"/>
        </w:rPr>
        <w:t xml:space="preserve">In the coming period, we will be campaigning strongly for the extension of the living wage in the public, private and voluntary sectors, and for the adoption of the living wage in public procurement </w:t>
      </w:r>
    </w:p>
    <w:p w:rsidR="002B25E5" w:rsidRPr="002B25E5" w:rsidRDefault="00D83E9A" w:rsidP="00AC5857">
      <w:pPr>
        <w:pStyle w:val="T11TextBody"/>
        <w:spacing w:line="276" w:lineRule="auto"/>
        <w:rPr>
          <w:rFonts w:ascii="Sabon" w:hAnsi="Sabon"/>
          <w:b/>
        </w:rPr>
      </w:pPr>
      <w:r w:rsidRPr="002B25E5">
        <w:rPr>
          <w:rFonts w:ascii="Sabon" w:hAnsi="Sabon"/>
          <w:b/>
        </w:rPr>
        <w:t xml:space="preserve">New </w:t>
      </w:r>
      <w:r w:rsidR="002B0AD5" w:rsidRPr="002B25E5">
        <w:rPr>
          <w:rFonts w:ascii="Sabon" w:hAnsi="Sabon"/>
          <w:b/>
        </w:rPr>
        <w:t>industrial</w:t>
      </w:r>
      <w:r w:rsidRPr="002B25E5">
        <w:rPr>
          <w:rFonts w:ascii="Sabon" w:hAnsi="Sabon"/>
          <w:b/>
        </w:rPr>
        <w:t xml:space="preserve"> pay and </w:t>
      </w:r>
      <w:r w:rsidR="002B0AD5" w:rsidRPr="002B25E5">
        <w:rPr>
          <w:rFonts w:ascii="Sabon" w:hAnsi="Sabon"/>
          <w:b/>
        </w:rPr>
        <w:t>productivity</w:t>
      </w:r>
      <w:r w:rsidRPr="002B25E5">
        <w:rPr>
          <w:rFonts w:ascii="Sabon" w:hAnsi="Sabon"/>
          <w:b/>
        </w:rPr>
        <w:t xml:space="preserve"> </w:t>
      </w:r>
      <w:r w:rsidR="002B25E5" w:rsidRPr="002B25E5">
        <w:rPr>
          <w:rFonts w:ascii="Sabon" w:hAnsi="Sabon"/>
          <w:b/>
        </w:rPr>
        <w:t>bodies</w:t>
      </w:r>
    </w:p>
    <w:p w:rsidR="00AC5857" w:rsidRPr="003869C1" w:rsidRDefault="002B25E5" w:rsidP="003869C1">
      <w:pPr>
        <w:pStyle w:val="T11TextBody"/>
        <w:spacing w:line="276" w:lineRule="auto"/>
        <w:rPr>
          <w:rFonts w:ascii="Sabon" w:hAnsi="Sabon"/>
          <w:szCs w:val="22"/>
        </w:rPr>
      </w:pPr>
      <w:r w:rsidRPr="003869C1">
        <w:rPr>
          <w:rFonts w:ascii="Sabon" w:hAnsi="Sabon"/>
          <w:szCs w:val="22"/>
        </w:rPr>
        <w:t>The</w:t>
      </w:r>
      <w:r w:rsidR="00AC5857" w:rsidRPr="003869C1">
        <w:rPr>
          <w:rFonts w:ascii="Sabon" w:hAnsi="Sabon"/>
          <w:szCs w:val="22"/>
        </w:rPr>
        <w:t xml:space="preserve"> TUC has also been developing new policy focusing on sectors where many employees and enterprises that are trapped in a low pay, low productivity model. In these sectors, some new architecture is badly needed. </w:t>
      </w:r>
    </w:p>
    <w:p w:rsidR="00AC5857" w:rsidRPr="003869C1" w:rsidRDefault="00AC5857" w:rsidP="003869C1">
      <w:pPr>
        <w:pStyle w:val="T11TextBody"/>
        <w:spacing w:line="276" w:lineRule="auto"/>
        <w:rPr>
          <w:rFonts w:ascii="Sabon" w:hAnsi="Sabon"/>
          <w:szCs w:val="22"/>
        </w:rPr>
      </w:pPr>
      <w:r w:rsidRPr="003869C1">
        <w:rPr>
          <w:rFonts w:ascii="Sabon" w:hAnsi="Sabon"/>
          <w:szCs w:val="22"/>
        </w:rPr>
        <w:t xml:space="preserve">We have argued publicly that new pay and productivity bodies should be established, </w:t>
      </w:r>
      <w:r w:rsidR="00D83E9A" w:rsidRPr="003869C1">
        <w:rPr>
          <w:rFonts w:ascii="Sabon" w:hAnsi="Sabon"/>
          <w:szCs w:val="22"/>
        </w:rPr>
        <w:t xml:space="preserve">looking to </w:t>
      </w:r>
      <w:r w:rsidRPr="003869C1">
        <w:rPr>
          <w:rFonts w:ascii="Sabon" w:hAnsi="Sabon"/>
          <w:szCs w:val="22"/>
        </w:rPr>
        <w:t xml:space="preserve">the Low Pay Commission </w:t>
      </w:r>
      <w:r w:rsidR="00D83E9A" w:rsidRPr="003869C1">
        <w:rPr>
          <w:rFonts w:ascii="Sabon" w:hAnsi="Sabon"/>
          <w:szCs w:val="22"/>
        </w:rPr>
        <w:t xml:space="preserve">to play </w:t>
      </w:r>
      <w:r w:rsidR="0027794F" w:rsidRPr="003869C1">
        <w:rPr>
          <w:rFonts w:ascii="Sabon" w:hAnsi="Sabon"/>
          <w:szCs w:val="22"/>
        </w:rPr>
        <w:t>a leading role</w:t>
      </w:r>
      <w:r w:rsidR="00D83E9A" w:rsidRPr="003869C1">
        <w:rPr>
          <w:rFonts w:ascii="Sabon" w:hAnsi="Sabon"/>
          <w:szCs w:val="22"/>
        </w:rPr>
        <w:t xml:space="preserve">, as </w:t>
      </w:r>
      <w:r w:rsidR="0027794F" w:rsidRPr="003869C1">
        <w:rPr>
          <w:rFonts w:ascii="Sabon" w:hAnsi="Sabon"/>
          <w:szCs w:val="22"/>
        </w:rPr>
        <w:t>envisaged by</w:t>
      </w:r>
      <w:r w:rsidR="00D83E9A" w:rsidRPr="003869C1">
        <w:rPr>
          <w:rFonts w:ascii="Sabon" w:hAnsi="Sabon"/>
          <w:szCs w:val="22"/>
        </w:rPr>
        <w:t xml:space="preserve"> former deputy </w:t>
      </w:r>
      <w:r w:rsidR="0027794F" w:rsidRPr="003869C1">
        <w:rPr>
          <w:rFonts w:ascii="Sabon" w:hAnsi="Sabon"/>
          <w:szCs w:val="22"/>
        </w:rPr>
        <w:t>chairman</w:t>
      </w:r>
      <w:r w:rsidR="00D83E9A" w:rsidRPr="003869C1">
        <w:rPr>
          <w:rFonts w:ascii="Sabon" w:hAnsi="Sabon"/>
          <w:szCs w:val="22"/>
        </w:rPr>
        <w:t xml:space="preserve"> of KPMG Alan Buckle’s report on pay</w:t>
      </w:r>
      <w:r w:rsidR="00D83E9A" w:rsidRPr="003869C1">
        <w:rPr>
          <w:rStyle w:val="FootnoteReference"/>
          <w:rFonts w:ascii="Sabon" w:hAnsi="Sabon"/>
          <w:sz w:val="22"/>
          <w:szCs w:val="22"/>
        </w:rPr>
        <w:footnoteReference w:id="64"/>
      </w:r>
      <w:r w:rsidR="00D83E9A" w:rsidRPr="003869C1">
        <w:rPr>
          <w:rFonts w:ascii="Sabon" w:hAnsi="Sabon"/>
          <w:szCs w:val="22"/>
        </w:rPr>
        <w:t xml:space="preserve">. </w:t>
      </w:r>
      <w:r w:rsidRPr="003869C1">
        <w:rPr>
          <w:rFonts w:ascii="Sabon" w:hAnsi="Sabon"/>
          <w:szCs w:val="22"/>
        </w:rPr>
        <w:t xml:space="preserve"> </w:t>
      </w:r>
    </w:p>
    <w:p w:rsidR="00EE1A7D" w:rsidRDefault="00EE1A7D" w:rsidP="003869C1">
      <w:pPr>
        <w:widowControl/>
        <w:spacing w:line="276" w:lineRule="auto"/>
        <w:rPr>
          <w:rFonts w:ascii="Sabon" w:hAnsi="Sabon"/>
          <w:sz w:val="22"/>
          <w:szCs w:val="22"/>
        </w:rPr>
      </w:pPr>
      <w:r w:rsidRPr="003869C1">
        <w:rPr>
          <w:rFonts w:ascii="Sabon" w:hAnsi="Sabon"/>
          <w:sz w:val="22"/>
          <w:szCs w:val="22"/>
        </w:rPr>
        <w:t xml:space="preserve">To be specific, we are calling for the LPC to have new powers to convene employers and unions to investigate how productivity can be improved and to set a higher statutory minimum wage in those industries that can afford to pay more. We propose cleaning, care and food manufacture as </w:t>
      </w:r>
      <w:r w:rsidR="00A1347C" w:rsidRPr="003869C1">
        <w:rPr>
          <w:rFonts w:ascii="Sabon" w:hAnsi="Sabon"/>
          <w:sz w:val="22"/>
          <w:szCs w:val="22"/>
        </w:rPr>
        <w:t>suitable</w:t>
      </w:r>
      <w:r w:rsidRPr="003869C1">
        <w:rPr>
          <w:rFonts w:ascii="Sabon" w:hAnsi="Sabon"/>
          <w:sz w:val="22"/>
          <w:szCs w:val="22"/>
        </w:rPr>
        <w:t xml:space="preserve"> industries to start with.</w:t>
      </w:r>
    </w:p>
    <w:p w:rsidR="00907A73" w:rsidRDefault="00907A73" w:rsidP="003869C1">
      <w:pPr>
        <w:widowControl/>
        <w:spacing w:line="276" w:lineRule="auto"/>
        <w:rPr>
          <w:rFonts w:ascii="Sabon" w:hAnsi="Sabon"/>
          <w:sz w:val="22"/>
          <w:szCs w:val="22"/>
        </w:rPr>
      </w:pPr>
    </w:p>
    <w:p w:rsidR="00907A73" w:rsidRPr="003869C1" w:rsidRDefault="00907A73" w:rsidP="003869C1">
      <w:pPr>
        <w:widowControl/>
        <w:spacing w:line="276" w:lineRule="auto"/>
        <w:rPr>
          <w:rFonts w:ascii="Sabon" w:hAnsi="Sabon"/>
          <w:sz w:val="22"/>
          <w:szCs w:val="22"/>
        </w:rPr>
      </w:pPr>
      <w:r>
        <w:rPr>
          <w:rFonts w:ascii="Sabon" w:hAnsi="Sabon"/>
          <w:sz w:val="22"/>
          <w:szCs w:val="22"/>
        </w:rPr>
        <w:t>The TUC would welcome an opportunity to meet the LPC to discuss these proposals.</w:t>
      </w:r>
    </w:p>
    <w:p w:rsidR="00113AB8" w:rsidRDefault="00113AB8" w:rsidP="00823570">
      <w:pPr>
        <w:pStyle w:val="T5TextBody"/>
        <w:rPr>
          <w:rFonts w:ascii="Frutiger 55" w:hAnsi="Frutiger 55"/>
          <w:b/>
        </w:rPr>
      </w:pPr>
    </w:p>
    <w:p w:rsidR="00DF712A" w:rsidRDefault="00DF712A" w:rsidP="00823570">
      <w:pPr>
        <w:pStyle w:val="T5TextBody"/>
        <w:rPr>
          <w:rFonts w:ascii="Frutiger 55" w:hAnsi="Frutiger 55"/>
          <w:b/>
        </w:rPr>
      </w:pPr>
    </w:p>
    <w:p w:rsidR="00DF712A" w:rsidRDefault="00DF712A" w:rsidP="00823570">
      <w:pPr>
        <w:pStyle w:val="T5TextBody"/>
        <w:rPr>
          <w:rFonts w:ascii="Frutiger 55" w:hAnsi="Frutiger 55"/>
          <w:b/>
        </w:rPr>
      </w:pPr>
    </w:p>
    <w:p w:rsidR="00DF712A" w:rsidRDefault="00DF712A" w:rsidP="00823570">
      <w:pPr>
        <w:pStyle w:val="T5TextBody"/>
        <w:rPr>
          <w:rFonts w:ascii="Frutiger 55" w:hAnsi="Frutiger 55"/>
          <w:b/>
        </w:rPr>
      </w:pPr>
    </w:p>
    <w:p w:rsidR="005B4DA6" w:rsidRDefault="002B25E5" w:rsidP="00823570">
      <w:pPr>
        <w:pStyle w:val="T5TextBody"/>
        <w:rPr>
          <w:rFonts w:ascii="Frutiger 55" w:hAnsi="Frutiger 55"/>
          <w:b/>
        </w:rPr>
      </w:pPr>
      <w:r>
        <w:rPr>
          <w:rFonts w:ascii="Frutiger 55" w:hAnsi="Frutiger 55"/>
          <w:b/>
        </w:rPr>
        <w:t xml:space="preserve">Summary of the </w:t>
      </w:r>
      <w:r w:rsidR="00113AB8">
        <w:rPr>
          <w:rFonts w:ascii="Frutiger 55" w:hAnsi="Frutiger 55"/>
          <w:b/>
        </w:rPr>
        <w:t xml:space="preserve">TUC’s </w:t>
      </w:r>
      <w:r w:rsidR="0027794F">
        <w:rPr>
          <w:rFonts w:ascii="Frutiger 55" w:hAnsi="Frutiger 55"/>
          <w:b/>
        </w:rPr>
        <w:t>recommendations</w:t>
      </w:r>
    </w:p>
    <w:p w:rsidR="002443DD" w:rsidRPr="002443DD" w:rsidRDefault="002443DD" w:rsidP="002443DD">
      <w:pPr>
        <w:pStyle w:val="ListParagraph"/>
        <w:widowControl/>
        <w:numPr>
          <w:ilvl w:val="0"/>
          <w:numId w:val="24"/>
        </w:numPr>
        <w:autoSpaceDE w:val="0"/>
        <w:autoSpaceDN w:val="0"/>
        <w:adjustRightInd w:val="0"/>
        <w:spacing w:line="276" w:lineRule="auto"/>
        <w:rPr>
          <w:rFonts w:ascii="Sabon" w:hAnsi="Sabon" w:cs="Arial"/>
          <w:snapToGrid/>
          <w:color w:val="000000"/>
          <w:sz w:val="22"/>
          <w:szCs w:val="22"/>
          <w:lang w:eastAsia="en-GB"/>
        </w:rPr>
      </w:pPr>
      <w:r>
        <w:rPr>
          <w:rFonts w:ascii="Sabon" w:hAnsi="Sabon" w:cs="Arial"/>
          <w:snapToGrid/>
          <w:color w:val="000000"/>
          <w:sz w:val="22"/>
          <w:szCs w:val="22"/>
          <w:lang w:eastAsia="en-GB"/>
        </w:rPr>
        <w:t>T</w:t>
      </w:r>
      <w:r w:rsidRPr="002443DD">
        <w:rPr>
          <w:rFonts w:ascii="Sabon" w:hAnsi="Sabon" w:cs="Arial"/>
          <w:snapToGrid/>
          <w:color w:val="000000"/>
          <w:sz w:val="22"/>
          <w:szCs w:val="22"/>
          <w:lang w:eastAsia="en-GB"/>
        </w:rPr>
        <w:t xml:space="preserve">he adult rate should be increased to significantly more than £7.00 per hour this year. We believe </w:t>
      </w:r>
      <w:r w:rsidR="005A2B6B">
        <w:rPr>
          <w:rFonts w:ascii="Sabon" w:hAnsi="Sabon" w:cs="Arial"/>
          <w:snapToGrid/>
          <w:color w:val="000000"/>
          <w:sz w:val="22"/>
          <w:szCs w:val="22"/>
          <w:lang w:eastAsia="en-GB"/>
        </w:rPr>
        <w:t>this</w:t>
      </w:r>
      <w:r w:rsidR="005A2B6B" w:rsidRPr="002443DD">
        <w:rPr>
          <w:rFonts w:ascii="Sabon" w:hAnsi="Sabon" w:cs="Arial"/>
          <w:snapToGrid/>
          <w:color w:val="000000"/>
          <w:sz w:val="22"/>
          <w:szCs w:val="22"/>
          <w:lang w:eastAsia="en-GB"/>
        </w:rPr>
        <w:t xml:space="preserve"> </w:t>
      </w:r>
      <w:r w:rsidRPr="002443DD">
        <w:rPr>
          <w:rFonts w:ascii="Sabon" w:hAnsi="Sabon" w:cs="Arial"/>
          <w:snapToGrid/>
          <w:color w:val="000000"/>
          <w:sz w:val="22"/>
          <w:szCs w:val="22"/>
          <w:lang w:eastAsia="en-GB"/>
        </w:rPr>
        <w:t xml:space="preserve">is a figure that can be absorbed without generating any measurable negative economic side effects. Indeed, we believe that the Treasury are likely to give a clean bill of </w:t>
      </w:r>
      <w:r w:rsidR="00A1347C" w:rsidRPr="002443DD">
        <w:rPr>
          <w:rFonts w:ascii="Sabon" w:hAnsi="Sabon" w:cs="Arial"/>
          <w:snapToGrid/>
          <w:color w:val="000000"/>
          <w:sz w:val="22"/>
          <w:szCs w:val="22"/>
          <w:lang w:eastAsia="en-GB"/>
        </w:rPr>
        <w:t>health to</w:t>
      </w:r>
      <w:r w:rsidRPr="002443DD">
        <w:rPr>
          <w:rFonts w:ascii="Sabon" w:hAnsi="Sabon" w:cs="Arial"/>
          <w:snapToGrid/>
          <w:color w:val="000000"/>
          <w:sz w:val="22"/>
          <w:szCs w:val="22"/>
          <w:lang w:eastAsia="en-GB"/>
        </w:rPr>
        <w:t xml:space="preserve"> a significant increase when the government submits its own evidence to the Commission.</w:t>
      </w:r>
    </w:p>
    <w:p w:rsidR="00113AB8" w:rsidRPr="00113AB8" w:rsidRDefault="00113AB8" w:rsidP="00113AB8">
      <w:pPr>
        <w:widowControl/>
        <w:autoSpaceDE w:val="0"/>
        <w:autoSpaceDN w:val="0"/>
        <w:adjustRightInd w:val="0"/>
        <w:spacing w:line="276" w:lineRule="auto"/>
        <w:rPr>
          <w:rFonts w:ascii="Sabon" w:hAnsi="Sabon" w:cs="Arial"/>
          <w:snapToGrid/>
          <w:color w:val="000000"/>
          <w:sz w:val="22"/>
          <w:szCs w:val="22"/>
          <w:lang w:eastAsia="en-GB"/>
        </w:rPr>
      </w:pPr>
    </w:p>
    <w:p w:rsidR="00A1347C" w:rsidRDefault="00113AB8" w:rsidP="00A1347C">
      <w:pPr>
        <w:pStyle w:val="ListParagraph"/>
        <w:widowControl/>
        <w:numPr>
          <w:ilvl w:val="0"/>
          <w:numId w:val="24"/>
        </w:numPr>
        <w:autoSpaceDE w:val="0"/>
        <w:autoSpaceDN w:val="0"/>
        <w:adjustRightInd w:val="0"/>
        <w:spacing w:line="276" w:lineRule="auto"/>
        <w:rPr>
          <w:rFonts w:ascii="Sabon" w:hAnsi="Sabon" w:cs="Arial"/>
          <w:snapToGrid/>
          <w:color w:val="000000"/>
          <w:sz w:val="22"/>
          <w:szCs w:val="22"/>
          <w:lang w:eastAsia="en-GB"/>
        </w:rPr>
      </w:pPr>
      <w:r w:rsidRPr="00113AB8">
        <w:rPr>
          <w:rFonts w:ascii="Sabon" w:hAnsi="Sabon" w:cs="Arial"/>
          <w:snapToGrid/>
          <w:color w:val="000000"/>
          <w:sz w:val="22"/>
          <w:szCs w:val="22"/>
          <w:lang w:eastAsia="en-GB"/>
        </w:rPr>
        <w:t>The youth rate and development rate should both increase faster than inflation and the rise in average earnings, in order to help make up what has been lost during the recession years.</w:t>
      </w:r>
    </w:p>
    <w:p w:rsidR="00A1347C" w:rsidRPr="00A1347C" w:rsidRDefault="00A1347C" w:rsidP="00A1347C">
      <w:pPr>
        <w:pStyle w:val="ListParagraph"/>
        <w:rPr>
          <w:rFonts w:ascii="Sabon" w:hAnsi="Sabon"/>
          <w:sz w:val="22"/>
          <w:szCs w:val="22"/>
        </w:rPr>
      </w:pPr>
    </w:p>
    <w:p w:rsidR="002E57D4" w:rsidRPr="002E57D4" w:rsidRDefault="002E57D4" w:rsidP="002E57D4">
      <w:pPr>
        <w:pStyle w:val="T5TextBody"/>
        <w:numPr>
          <w:ilvl w:val="0"/>
          <w:numId w:val="24"/>
        </w:numPr>
      </w:pPr>
      <w:r w:rsidRPr="002E57D4">
        <w:t>From October 2015 onwards, the apprentice rate should only apply to those undertaking intermediate level apprentices who are aged 16-18 and to 19-20 year olds in the first year of their apprenticeship.  In addition, the LPC should consider setting the apprentice rate of the minimum wage at the same level as the youth rate.  Other apprentices should be paid the relevant general age-based rate of the NMW.</w:t>
      </w:r>
    </w:p>
    <w:p w:rsidR="00931EFC" w:rsidRPr="00931EFC" w:rsidRDefault="00931EFC" w:rsidP="00931EFC">
      <w:pPr>
        <w:pStyle w:val="ListParagraph"/>
        <w:rPr>
          <w:rFonts w:ascii="Sabon" w:hAnsi="Sabon" w:cs="Arial"/>
          <w:snapToGrid/>
          <w:color w:val="000000"/>
          <w:sz w:val="22"/>
          <w:szCs w:val="22"/>
          <w:lang w:eastAsia="en-GB"/>
        </w:rPr>
      </w:pPr>
    </w:p>
    <w:p w:rsidR="003869C1" w:rsidRPr="003869C1" w:rsidRDefault="003869C1" w:rsidP="003869C1">
      <w:pPr>
        <w:pStyle w:val="T5TextBody"/>
        <w:numPr>
          <w:ilvl w:val="0"/>
          <w:numId w:val="24"/>
        </w:numPr>
      </w:pPr>
      <w:r w:rsidRPr="003869C1">
        <w:t>The LPC should closely monitor agricultural earnings and compliance with the minimum wage.</w:t>
      </w:r>
    </w:p>
    <w:p w:rsidR="003869C1" w:rsidRPr="003869C1" w:rsidRDefault="003869C1" w:rsidP="003869C1">
      <w:pPr>
        <w:pStyle w:val="ListParagraph"/>
        <w:rPr>
          <w:rFonts w:ascii="Sabon" w:hAnsi="Sabon" w:cs="Arial"/>
          <w:sz w:val="22"/>
        </w:rPr>
      </w:pPr>
    </w:p>
    <w:p w:rsidR="00931EFC" w:rsidRPr="009F05C6" w:rsidRDefault="00931EFC" w:rsidP="00931EFC">
      <w:pPr>
        <w:pStyle w:val="ListParagraph"/>
        <w:numPr>
          <w:ilvl w:val="0"/>
          <w:numId w:val="24"/>
        </w:numPr>
        <w:spacing w:line="276" w:lineRule="auto"/>
        <w:rPr>
          <w:rFonts w:ascii="Sabon" w:hAnsi="Sabon"/>
          <w:sz w:val="22"/>
          <w:szCs w:val="22"/>
        </w:rPr>
      </w:pPr>
      <w:r w:rsidRPr="00931EFC">
        <w:rPr>
          <w:rFonts w:ascii="Sabon" w:hAnsi="Sabon" w:cs="Arial"/>
          <w:sz w:val="22"/>
        </w:rPr>
        <w:t xml:space="preserve">The LPC must keep up the pressure to improve the Government’s guidance on the NMW.  </w:t>
      </w:r>
    </w:p>
    <w:p w:rsidR="00F20CB0" w:rsidRDefault="00F20CB0">
      <w:pPr>
        <w:pStyle w:val="ListParagraph"/>
        <w:rPr>
          <w:rFonts w:ascii="Sabon" w:hAnsi="Sabon"/>
          <w:sz w:val="22"/>
          <w:szCs w:val="22"/>
        </w:rPr>
      </w:pPr>
    </w:p>
    <w:p w:rsidR="009F05C6" w:rsidRPr="00931EFC" w:rsidRDefault="009F05C6" w:rsidP="00931EFC">
      <w:pPr>
        <w:pStyle w:val="ListParagraph"/>
        <w:numPr>
          <w:ilvl w:val="0"/>
          <w:numId w:val="24"/>
        </w:numPr>
        <w:spacing w:line="276" w:lineRule="auto"/>
        <w:rPr>
          <w:rFonts w:ascii="Sabon" w:hAnsi="Sabon"/>
          <w:sz w:val="22"/>
          <w:szCs w:val="22"/>
        </w:rPr>
      </w:pPr>
      <w:r>
        <w:rPr>
          <w:rFonts w:ascii="Sabon" w:hAnsi="Sabon"/>
          <w:sz w:val="22"/>
          <w:szCs w:val="22"/>
        </w:rPr>
        <w:t>The guidance should reflect the EAT cases on sleep-overs.</w:t>
      </w:r>
    </w:p>
    <w:p w:rsidR="00931EFC" w:rsidRPr="00931EFC" w:rsidRDefault="00931EFC" w:rsidP="00931EFC">
      <w:pPr>
        <w:pStyle w:val="ListParagraph"/>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 xml:space="preserve">The budgets for NMW dissemination and enforcement should increase. </w:t>
      </w:r>
    </w:p>
    <w:p w:rsidR="00931EFC" w:rsidRPr="00931EFC" w:rsidRDefault="00931EFC" w:rsidP="007F5C16">
      <w:pPr>
        <w:pStyle w:val="ListParagraph"/>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 xml:space="preserve">There should be a </w:t>
      </w:r>
      <w:r w:rsidR="0027794F" w:rsidRPr="00931EFC">
        <w:rPr>
          <w:rFonts w:ascii="Sabon" w:hAnsi="Sabon"/>
          <w:sz w:val="22"/>
          <w:szCs w:val="22"/>
        </w:rPr>
        <w:t>new prosecution</w:t>
      </w:r>
      <w:r w:rsidRPr="00931EFC">
        <w:rPr>
          <w:rFonts w:ascii="Sabon" w:hAnsi="Sabon"/>
          <w:sz w:val="22"/>
          <w:szCs w:val="22"/>
        </w:rPr>
        <w:t xml:space="preserve"> strategy for aggravated offences such as keeping false records and obstructing HMRC’s investigation. Repeat offenders should also be prosecuted.</w:t>
      </w:r>
    </w:p>
    <w:p w:rsidR="007F5C16" w:rsidRPr="007F5C16" w:rsidRDefault="007F5C16" w:rsidP="007F5C16">
      <w:pPr>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The maximum penalties for prosecutions  under the NMW Act should be greatly increased</w:t>
      </w:r>
    </w:p>
    <w:p w:rsidR="007F5C16" w:rsidRPr="00931EFC" w:rsidRDefault="007F5C16" w:rsidP="007F5C16">
      <w:pPr>
        <w:pStyle w:val="ListParagraph"/>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The LPC should ensure that all employers caught underpaying are named.</w:t>
      </w:r>
    </w:p>
    <w:p w:rsidR="007F5C16" w:rsidRPr="007F5C16" w:rsidRDefault="007F5C16" w:rsidP="007F5C16">
      <w:pPr>
        <w:pStyle w:val="ListParagraph"/>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Government should guarantee the payment of minimum wage arrears in cases where they cannot be recovered because the employer is bankrupt or has absconded.</w:t>
      </w:r>
    </w:p>
    <w:p w:rsidR="007F5C16" w:rsidRDefault="007F5C16" w:rsidP="007F5C16">
      <w:pPr>
        <w:pStyle w:val="ListParagraph"/>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A new legal gateway should be created so that HMRC can discuss minimum wage cases with local authorities or the MCA, where relevant.</w:t>
      </w:r>
    </w:p>
    <w:p w:rsidR="007F5C16" w:rsidRPr="007F5C16" w:rsidRDefault="007F5C16" w:rsidP="007F5C16">
      <w:pPr>
        <w:spacing w:line="276" w:lineRule="auto"/>
        <w:rPr>
          <w:rFonts w:ascii="Sabon" w:hAnsi="Sabon"/>
          <w:sz w:val="22"/>
          <w:szCs w:val="22"/>
        </w:rPr>
      </w:pPr>
    </w:p>
    <w:p w:rsidR="00931EFC" w:rsidRDefault="00931EFC" w:rsidP="00931EFC">
      <w:pPr>
        <w:pStyle w:val="ListParagraph"/>
        <w:numPr>
          <w:ilvl w:val="0"/>
          <w:numId w:val="24"/>
        </w:numPr>
        <w:spacing w:line="276" w:lineRule="auto"/>
        <w:rPr>
          <w:rFonts w:ascii="Sabon" w:hAnsi="Sabon"/>
          <w:sz w:val="22"/>
          <w:szCs w:val="22"/>
        </w:rPr>
      </w:pPr>
      <w:r w:rsidRPr="00931EFC">
        <w:rPr>
          <w:rFonts w:ascii="Sabon" w:hAnsi="Sabon"/>
          <w:sz w:val="22"/>
          <w:szCs w:val="22"/>
        </w:rPr>
        <w:t xml:space="preserve">There must </w:t>
      </w:r>
      <w:r w:rsidR="0027794F" w:rsidRPr="00931EFC">
        <w:rPr>
          <w:rFonts w:ascii="Sabon" w:hAnsi="Sabon"/>
          <w:sz w:val="22"/>
          <w:szCs w:val="22"/>
        </w:rPr>
        <w:t>be sustained</w:t>
      </w:r>
      <w:r w:rsidRPr="00931EFC">
        <w:rPr>
          <w:rFonts w:ascii="Sabon" w:hAnsi="Sabon"/>
          <w:sz w:val="22"/>
          <w:szCs w:val="22"/>
        </w:rPr>
        <w:t xml:space="preserve"> and ongoing attempt to enforce the minimum wage, covering both employers who try to deny workers the NMW by wrongly calling them self-employed, interns or volunteers, groups that are excluded from the full protection of the act, such as domestic workers and seafarers, and high risk sectors of employment.</w:t>
      </w:r>
    </w:p>
    <w:p w:rsidR="007F5C16" w:rsidRPr="007F5C16" w:rsidRDefault="007F5C16" w:rsidP="007F5C16">
      <w:pPr>
        <w:spacing w:line="276" w:lineRule="auto"/>
        <w:rPr>
          <w:rFonts w:ascii="Sabon" w:hAnsi="Sabon"/>
          <w:sz w:val="22"/>
          <w:szCs w:val="22"/>
        </w:rPr>
      </w:pPr>
    </w:p>
    <w:p w:rsidR="003869C1" w:rsidRPr="003869C1" w:rsidRDefault="00931EFC" w:rsidP="003869C1">
      <w:pPr>
        <w:pStyle w:val="ListParagraph"/>
        <w:numPr>
          <w:ilvl w:val="0"/>
          <w:numId w:val="24"/>
        </w:numPr>
        <w:spacing w:line="276" w:lineRule="auto"/>
        <w:rPr>
          <w:rFonts w:ascii="Sabon" w:hAnsi="Sabon"/>
          <w:sz w:val="22"/>
          <w:szCs w:val="22"/>
        </w:rPr>
      </w:pPr>
      <w:r w:rsidRPr="00931EFC">
        <w:rPr>
          <w:rFonts w:ascii="Sabon" w:hAnsi="Sabon"/>
          <w:sz w:val="22"/>
          <w:szCs w:val="22"/>
        </w:rPr>
        <w:t>There is ever-growing concern about the social care sector. Targeted enforcement in this sector should continue, but a longer term solution involving more equitable funding is also needed</w:t>
      </w:r>
      <w:r w:rsidR="003869C1">
        <w:rPr>
          <w:rFonts w:ascii="Sabon" w:hAnsi="Sabon"/>
          <w:sz w:val="22"/>
          <w:szCs w:val="22"/>
        </w:rPr>
        <w:t>.</w:t>
      </w:r>
    </w:p>
    <w:sectPr w:rsidR="003869C1" w:rsidRPr="003869C1" w:rsidSect="00BE2BAE">
      <w:headerReference w:type="default" r:id="rId14"/>
      <w:footerReference w:type="default" r:id="rId15"/>
      <w:headerReference w:type="first" r:id="rId16"/>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F9" w:rsidRDefault="002C43F9" w:rsidP="00ED242E">
      <w:r>
        <w:separator/>
      </w:r>
    </w:p>
  </w:endnote>
  <w:endnote w:type="continuationSeparator" w:id="0">
    <w:p w:rsidR="002C43F9" w:rsidRDefault="002C43F9" w:rsidP="00ED2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CLMN F+ Stone Sans">
    <w:altName w:val="Stone Sans"/>
    <w:panose1 w:val="00000000000000000000"/>
    <w:charset w:val="00"/>
    <w:family w:val="swiss"/>
    <w:notTrueType/>
    <w:pitch w:val="default"/>
    <w:sig w:usb0="00000003" w:usb1="00000000" w:usb2="00000000" w:usb3="00000000" w:csb0="00000001" w:csb1="00000000"/>
  </w:font>
  <w:font w:name="Bliss 2 Medium">
    <w:altName w:val="Bliss 2 Medium"/>
    <w:panose1 w:val="00000000000000000000"/>
    <w:charset w:val="00"/>
    <w:family w:val="swiss"/>
    <w:notTrueType/>
    <w:pitch w:val="default"/>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2-Light">
    <w:panose1 w:val="00000000000000000000"/>
    <w:charset w:val="00"/>
    <w:family w:val="swiss"/>
    <w:notTrueType/>
    <w:pitch w:val="default"/>
    <w:sig w:usb0="00000003" w:usb1="00000000" w:usb2="00000000" w:usb3="00000000" w:csb0="00000001" w:csb1="00000000"/>
  </w:font>
  <w:font w:name="Univers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13" w:rsidRDefault="004077D1">
    <w:pPr>
      <w:pStyle w:val="Footer"/>
    </w:pPr>
    <w:fldSimple w:instr=" STYLEREF T5MainTitle">
      <w:r w:rsidR="00E86F94">
        <w:rPr>
          <w:noProof/>
        </w:rPr>
        <w:t>The Low Pay Commission</w:t>
      </w:r>
    </w:fldSimple>
    <w:r w:rsidR="00FC4D13">
      <w:tab/>
    </w:r>
    <w:bookmarkStart w:id="3" w:name="bmDepartmentAndDate"/>
    <w:r w:rsidR="00FC4D13">
      <w:t>ESAD August 2014</w:t>
    </w:r>
    <w:bookmarkEnd w:id="3"/>
    <w:r w:rsidR="00FC4D13">
      <w:tab/>
    </w:r>
    <w:r>
      <w:rPr>
        <w:sz w:val="22"/>
      </w:rPr>
      <w:fldChar w:fldCharType="begin"/>
    </w:r>
    <w:r w:rsidR="00FC4D13">
      <w:rPr>
        <w:sz w:val="22"/>
      </w:rPr>
      <w:instrText xml:space="preserve">PAGE </w:instrText>
    </w:r>
    <w:r>
      <w:rPr>
        <w:sz w:val="22"/>
      </w:rPr>
      <w:fldChar w:fldCharType="separate"/>
    </w:r>
    <w:r w:rsidR="00E86F94">
      <w:rPr>
        <w:noProof/>
        <w:sz w:val="22"/>
      </w:rPr>
      <w:t>28</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F9" w:rsidRDefault="002C43F9" w:rsidP="00ED242E">
      <w:r>
        <w:separator/>
      </w:r>
    </w:p>
  </w:footnote>
  <w:footnote w:type="continuationSeparator" w:id="0">
    <w:p w:rsidR="002C43F9" w:rsidRDefault="002C43F9" w:rsidP="00ED242E">
      <w:r>
        <w:continuationSeparator/>
      </w:r>
    </w:p>
  </w:footnote>
  <w:footnote w:id="1">
    <w:p w:rsidR="00FC4D13" w:rsidRDefault="00FC4D13">
      <w:pPr>
        <w:pStyle w:val="FootnoteText"/>
      </w:pPr>
      <w:r>
        <w:rPr>
          <w:rStyle w:val="FootnoteReference"/>
        </w:rPr>
        <w:footnoteRef/>
      </w:r>
      <w:r>
        <w:t xml:space="preserve"> </w:t>
      </w:r>
      <w:r w:rsidRPr="000D05A0">
        <w:t>Indeed, that Bank of England has recently noted that consumption growth has outstripped income growth and the saving ratio has fallen during the past two years.</w:t>
      </w:r>
    </w:p>
  </w:footnote>
  <w:footnote w:id="2">
    <w:p w:rsidR="00FC4D13" w:rsidRDefault="00FC4D13" w:rsidP="002916E8">
      <w:pPr>
        <w:pStyle w:val="FootnoteText"/>
      </w:pPr>
      <w:r>
        <w:rPr>
          <w:rStyle w:val="FootnoteReference"/>
        </w:rPr>
        <w:footnoteRef/>
      </w:r>
      <w:r>
        <w:t xml:space="preserve"> IMF, “redistribution, inequality and growth”. Feb 2014: </w:t>
      </w:r>
      <w:hyperlink r:id="rId1" w:history="1">
        <w:r w:rsidRPr="00A53369">
          <w:rPr>
            <w:rStyle w:val="Hyperlink"/>
          </w:rPr>
          <w:t>http://www.imf.org/external/pubs/ft/sdn/2014/sdn1402.pdf</w:t>
        </w:r>
      </w:hyperlink>
    </w:p>
  </w:footnote>
  <w:footnote w:id="3">
    <w:p w:rsidR="00FC4D13" w:rsidRDefault="00FC4D13" w:rsidP="002916E8">
      <w:pPr>
        <w:pStyle w:val="FootnoteText"/>
      </w:pPr>
      <w:r>
        <w:rPr>
          <w:rStyle w:val="FootnoteReference"/>
        </w:rPr>
        <w:footnoteRef/>
      </w:r>
      <w:r>
        <w:t xml:space="preserve"> </w:t>
      </w:r>
      <w:r w:rsidRPr="002E39C5">
        <w:t>http://uk.reuters.com/article/2014/02/12/uk-britain-boe-inflation-report-idUKBREA1B0SL20140212</w:t>
      </w:r>
    </w:p>
  </w:footnote>
  <w:footnote w:id="4">
    <w:p w:rsidR="00FC4D13" w:rsidRDefault="00FC4D13">
      <w:pPr>
        <w:pStyle w:val="FootnoteText"/>
      </w:pPr>
      <w:r>
        <w:rPr>
          <w:rStyle w:val="FootnoteReference"/>
        </w:rPr>
        <w:footnoteRef/>
      </w:r>
      <w:r>
        <w:t xml:space="preserve"> The consultation letter for the 2015 report, LPC, June 2014: </w:t>
      </w:r>
      <w:hyperlink r:id="rId2" w:history="1">
        <w:r w:rsidRPr="00242D12">
          <w:rPr>
            <w:rStyle w:val="Hyperlink"/>
          </w:rPr>
          <w:t>https://www.gov.uk/government/uploads/system/uploads/attachment_data/file/321065/letter-to-chair-low-pay-commission.pdf</w:t>
        </w:r>
      </w:hyperlink>
    </w:p>
  </w:footnote>
  <w:footnote w:id="5">
    <w:p w:rsidR="00FC4D13" w:rsidRDefault="00FC4D13" w:rsidP="00A82B02">
      <w:pPr>
        <w:pStyle w:val="FootnoteText"/>
      </w:pPr>
      <w:r>
        <w:rPr>
          <w:rStyle w:val="FootnoteReference"/>
        </w:rPr>
        <w:footnoteRef/>
      </w:r>
      <w:r>
        <w:t xml:space="preserve"> ONS labour market data (May-July 2014.) 12 months previously the total stood at 537,000.</w:t>
      </w:r>
    </w:p>
  </w:footnote>
  <w:footnote w:id="6">
    <w:p w:rsidR="00FC4D13" w:rsidRDefault="00FC4D13">
      <w:pPr>
        <w:pStyle w:val="FootnoteText"/>
      </w:pPr>
      <w:r>
        <w:rPr>
          <w:rStyle w:val="FootnoteReference"/>
        </w:rPr>
        <w:footnoteRef/>
      </w:r>
      <w:r>
        <w:t xml:space="preserve"> </w:t>
      </w:r>
      <w:r w:rsidRPr="00AB273C">
        <w:rPr>
          <w:szCs w:val="18"/>
        </w:rPr>
        <w:t xml:space="preserve">ONS, </w:t>
      </w:r>
      <w:r w:rsidRPr="00AB273C">
        <w:rPr>
          <w:rFonts w:cs="Arial"/>
          <w:iCs/>
          <w:snapToGrid/>
          <w:szCs w:val="18"/>
          <w:lang w:eastAsia="en-GB"/>
        </w:rPr>
        <w:t xml:space="preserve">quality and </w:t>
      </w:r>
      <w:r w:rsidRPr="00AB273C">
        <w:rPr>
          <w:rFonts w:cs="Arial"/>
          <w:bCs/>
          <w:iCs/>
          <w:snapToGrid/>
          <w:szCs w:val="18"/>
          <w:lang w:eastAsia="en-GB"/>
        </w:rPr>
        <w:t xml:space="preserve">methodology </w:t>
      </w:r>
      <w:r w:rsidRPr="00AB273C">
        <w:rPr>
          <w:rFonts w:cs="Arial"/>
          <w:iCs/>
          <w:snapToGrid/>
          <w:szCs w:val="18"/>
          <w:lang w:eastAsia="en-GB"/>
        </w:rPr>
        <w:t xml:space="preserve">information for the </w:t>
      </w:r>
      <w:r>
        <w:rPr>
          <w:rFonts w:cs="Arial"/>
          <w:iCs/>
          <w:snapToGrid/>
          <w:szCs w:val="18"/>
          <w:lang w:eastAsia="en-GB"/>
        </w:rPr>
        <w:t>A</w:t>
      </w:r>
      <w:r w:rsidRPr="00AB273C">
        <w:rPr>
          <w:rFonts w:cs="Arial"/>
          <w:iCs/>
          <w:snapToGrid/>
          <w:szCs w:val="18"/>
          <w:lang w:eastAsia="en-GB"/>
        </w:rPr>
        <w:t xml:space="preserve">verage </w:t>
      </w:r>
      <w:r>
        <w:rPr>
          <w:rFonts w:cs="Arial"/>
          <w:iCs/>
          <w:snapToGrid/>
          <w:szCs w:val="18"/>
          <w:lang w:eastAsia="en-GB"/>
        </w:rPr>
        <w:t>W</w:t>
      </w:r>
      <w:r w:rsidRPr="00AB273C">
        <w:rPr>
          <w:rFonts w:cs="Arial"/>
          <w:iCs/>
          <w:snapToGrid/>
          <w:szCs w:val="18"/>
          <w:lang w:eastAsia="en-GB"/>
        </w:rPr>
        <w:t xml:space="preserve">eekly </w:t>
      </w:r>
      <w:r>
        <w:rPr>
          <w:rFonts w:cs="Arial"/>
          <w:iCs/>
          <w:snapToGrid/>
          <w:szCs w:val="18"/>
          <w:lang w:eastAsia="en-GB"/>
        </w:rPr>
        <w:t>E</w:t>
      </w:r>
      <w:r w:rsidRPr="00AB273C">
        <w:rPr>
          <w:rFonts w:cs="Arial"/>
          <w:iCs/>
          <w:snapToGrid/>
          <w:szCs w:val="18"/>
          <w:lang w:eastAsia="en-GB"/>
        </w:rPr>
        <w:t xml:space="preserve">arnings </w:t>
      </w:r>
      <w:r>
        <w:rPr>
          <w:rFonts w:cs="Arial"/>
          <w:iCs/>
          <w:snapToGrid/>
          <w:szCs w:val="18"/>
          <w:lang w:eastAsia="en-GB"/>
        </w:rPr>
        <w:t>S</w:t>
      </w:r>
      <w:r w:rsidRPr="00AB273C">
        <w:rPr>
          <w:rFonts w:cs="Arial"/>
          <w:iCs/>
          <w:snapToGrid/>
          <w:szCs w:val="18"/>
          <w:lang w:eastAsia="en-GB"/>
        </w:rPr>
        <w:t>urvey, November 2011.</w:t>
      </w:r>
    </w:p>
  </w:footnote>
  <w:footnote w:id="7">
    <w:p w:rsidR="00FC4D13" w:rsidRDefault="00FC4D13">
      <w:pPr>
        <w:pStyle w:val="FootnoteText"/>
      </w:pPr>
      <w:r>
        <w:rPr>
          <w:rStyle w:val="FootnoteReference"/>
        </w:rPr>
        <w:footnoteRef/>
      </w:r>
      <w:r>
        <w:t xml:space="preserve"> Ibid</w:t>
      </w:r>
    </w:p>
  </w:footnote>
  <w:footnote w:id="8">
    <w:p w:rsidR="00FC4D13" w:rsidRDefault="00FC4D13">
      <w:pPr>
        <w:pStyle w:val="FootnoteText"/>
      </w:pPr>
      <w:r>
        <w:rPr>
          <w:rStyle w:val="FootnoteReference"/>
        </w:rPr>
        <w:footnoteRef/>
      </w:r>
      <w:r>
        <w:t>.</w:t>
      </w:r>
      <w:r w:rsidRPr="00BF3A8E">
        <w:t xml:space="preserve"> http://www.ons.gov.uk/ons/rel/lms/labour-market-statistics/march-2014/dataset--earnings.html</w:t>
      </w:r>
    </w:p>
  </w:footnote>
  <w:footnote w:id="9">
    <w:p w:rsidR="00FC4D13" w:rsidRDefault="00FC4D13">
      <w:pPr>
        <w:pStyle w:val="FootnoteText"/>
      </w:pPr>
      <w:r>
        <w:rPr>
          <w:rStyle w:val="FootnoteReference"/>
        </w:rPr>
        <w:footnoteRef/>
      </w:r>
      <w:r>
        <w:t xml:space="preserve"> Bank of England inflation report, august 2014, p34: </w:t>
      </w:r>
    </w:p>
  </w:footnote>
  <w:footnote w:id="10">
    <w:p w:rsidR="00FC4D13" w:rsidRDefault="00FC4D13" w:rsidP="003874DE">
      <w:pPr>
        <w:pStyle w:val="FootnoteText"/>
      </w:pPr>
      <w:r>
        <w:rPr>
          <w:rStyle w:val="FootnoteReference"/>
        </w:rPr>
        <w:footnoteRef/>
      </w:r>
      <w:r>
        <w:t xml:space="preserve"> See “on the up”, Recruitment Matters, June 2014, p14: </w:t>
      </w:r>
      <w:hyperlink r:id="rId3" w:history="1">
        <w:r w:rsidRPr="00C37982">
          <w:rPr>
            <w:rStyle w:val="Hyperlink"/>
          </w:rPr>
          <w:t>http://issuu.com/redactive/docs/rmjune14</w:t>
        </w:r>
      </w:hyperlink>
    </w:p>
  </w:footnote>
  <w:footnote w:id="11">
    <w:p w:rsidR="00FC4D13" w:rsidRDefault="00FC4D13" w:rsidP="0048264B">
      <w:pPr>
        <w:pStyle w:val="FootnoteText"/>
      </w:pPr>
      <w:r>
        <w:rPr>
          <w:rStyle w:val="FootnoteReference"/>
        </w:rPr>
        <w:footnoteRef/>
      </w:r>
      <w:r>
        <w:t xml:space="preserve"> ONS, retail sales, June 2014</w:t>
      </w:r>
    </w:p>
  </w:footnote>
  <w:footnote w:id="12">
    <w:p w:rsidR="00FC4D13" w:rsidRDefault="00FC4D13" w:rsidP="0048264B">
      <w:pPr>
        <w:pStyle w:val="FootnoteText"/>
      </w:pPr>
      <w:r>
        <w:rPr>
          <w:rStyle w:val="FootnoteReference"/>
        </w:rPr>
        <w:footnoteRef/>
      </w:r>
      <w:r>
        <w:t xml:space="preserve"> Ibid</w:t>
      </w:r>
    </w:p>
  </w:footnote>
  <w:footnote w:id="13">
    <w:p w:rsidR="00FC4D13" w:rsidRDefault="00FC4D13" w:rsidP="0048264B">
      <w:pPr>
        <w:pStyle w:val="FootnoteText"/>
      </w:pPr>
      <w:r>
        <w:rPr>
          <w:rStyle w:val="FootnoteReference"/>
        </w:rPr>
        <w:footnoteRef/>
      </w:r>
      <w:r>
        <w:t xml:space="preserve"> Centre for Retail Research: </w:t>
      </w:r>
      <w:hyperlink r:id="rId4" w:history="1">
        <w:r w:rsidRPr="00BD7C96">
          <w:rPr>
            <w:rStyle w:val="Hyperlink"/>
          </w:rPr>
          <w:t>http://www.retailresearch.org/retailforecast.php</w:t>
        </w:r>
      </w:hyperlink>
    </w:p>
  </w:footnote>
  <w:footnote w:id="14">
    <w:p w:rsidR="00FC4D13" w:rsidRDefault="00FC4D13" w:rsidP="0048264B">
      <w:pPr>
        <w:pStyle w:val="FootnoteText"/>
      </w:pPr>
      <w:r>
        <w:rPr>
          <w:rStyle w:val="FootnoteReference"/>
        </w:rPr>
        <w:footnoteRef/>
      </w:r>
      <w:r>
        <w:t xml:space="preserve">Greater Manchester forecasting model cited in “spotlight on hair and beauty”, LMI factsheet 2009. </w:t>
      </w:r>
      <w:hyperlink r:id="rId5" w:history="1">
        <w:r w:rsidRPr="00A1347C">
          <w:rPr>
            <w:rStyle w:val="Hyperlink"/>
          </w:rPr>
          <w:t>http://clc2.uniservity.com/GroupDownloadFile.asp?GroupId=20095333&amp;ResourceID=2822134</w:t>
        </w:r>
      </w:hyperlink>
    </w:p>
  </w:footnote>
  <w:footnote w:id="15">
    <w:p w:rsidR="00FC4D13" w:rsidRDefault="00FC4D13" w:rsidP="0048264B">
      <w:pPr>
        <w:pStyle w:val="FootnoteText"/>
      </w:pPr>
      <w:r>
        <w:rPr>
          <w:rStyle w:val="FootnoteReference"/>
        </w:rPr>
        <w:footnoteRef/>
      </w:r>
      <w:r>
        <w:t xml:space="preserve"> “Hidden talents: skills mismatch analysis, LAGA, 2012: </w:t>
      </w:r>
      <w:r w:rsidRPr="00F31916">
        <w:t>http://www.local.gov.uk/media-releases/-/journal_content/56/10180/3623238/NEWS</w:t>
      </w:r>
    </w:p>
  </w:footnote>
  <w:footnote w:id="16">
    <w:p w:rsidR="00FC4D13" w:rsidRDefault="00FC4D13" w:rsidP="0048264B">
      <w:pPr>
        <w:pStyle w:val="FootnoteText"/>
      </w:pPr>
      <w:r>
        <w:rPr>
          <w:rStyle w:val="FootnoteReference"/>
        </w:rPr>
        <w:footnoteRef/>
      </w:r>
      <w:r>
        <w:t xml:space="preserve"> “Hairdressing and beauty treatment in the UK: market research report”, Ibisworld, May 2014. </w:t>
      </w:r>
      <w:hyperlink r:id="rId6" w:history="1">
        <w:r w:rsidRPr="00A1347C">
          <w:rPr>
            <w:rStyle w:val="Hyperlink"/>
          </w:rPr>
          <w:t>http://www.ibisworld.co.uk/market-research/hairdressing-beauty-treatment.html</w:t>
        </w:r>
      </w:hyperlink>
    </w:p>
  </w:footnote>
  <w:footnote w:id="17">
    <w:p w:rsidR="00FC4D13" w:rsidRDefault="00FC4D13">
      <w:pPr>
        <w:pStyle w:val="FootnoteText"/>
      </w:pPr>
      <w:r>
        <w:rPr>
          <w:rStyle w:val="FootnoteReference"/>
        </w:rPr>
        <w:footnoteRef/>
      </w:r>
      <w:r>
        <w:t xml:space="preserve"> Bank of England inflation report, August 2014, p5: </w:t>
      </w:r>
      <w:hyperlink r:id="rId7" w:history="1">
        <w:r w:rsidRPr="006E5BBD">
          <w:rPr>
            <w:rStyle w:val="Hyperlink"/>
          </w:rPr>
          <w:t>http://www.bankofengland.co.uk/publications/Documents/inflationreport/2014/ir14aug.pdf</w:t>
        </w:r>
      </w:hyperlink>
    </w:p>
  </w:footnote>
  <w:footnote w:id="18">
    <w:p w:rsidR="00FC4D13" w:rsidRDefault="00FC4D13">
      <w:pPr>
        <w:pStyle w:val="T5TextBody"/>
        <w:spacing w:line="276" w:lineRule="auto"/>
        <w:rPr>
          <w:szCs w:val="22"/>
        </w:rPr>
      </w:pPr>
      <w:r>
        <w:rPr>
          <w:rStyle w:val="FootnoteReference"/>
        </w:rPr>
        <w:footnoteRef/>
      </w:r>
      <w:r>
        <w:t xml:space="preserve"> </w:t>
      </w:r>
      <w:r w:rsidRPr="00C23B98">
        <w:rPr>
          <w:rFonts w:cs="Arial"/>
          <w:bCs/>
          <w:color w:val="000000"/>
          <w:sz w:val="18"/>
          <w:szCs w:val="18"/>
        </w:rPr>
        <w:t xml:space="preserve">The Office of Budget Responsibility (OBR) publishes its own forecasts on a twice yearly basis.  HM Treasury also publishes a regular round up of independent economic forecasts for the following year on a monthly basis, </w:t>
      </w:r>
      <w:r>
        <w:rPr>
          <w:rFonts w:cs="Arial"/>
          <w:bCs/>
          <w:color w:val="000000"/>
          <w:sz w:val="18"/>
          <w:szCs w:val="18"/>
        </w:rPr>
        <w:t>and longer-</w:t>
      </w:r>
      <w:r w:rsidRPr="00C23B98">
        <w:rPr>
          <w:rFonts w:cs="Arial"/>
          <w:bCs/>
          <w:color w:val="000000"/>
          <w:sz w:val="18"/>
          <w:szCs w:val="18"/>
        </w:rPr>
        <w:t>term predictions</w:t>
      </w:r>
      <w:r>
        <w:rPr>
          <w:rFonts w:cs="Arial"/>
          <w:bCs/>
          <w:color w:val="000000"/>
          <w:sz w:val="18"/>
          <w:szCs w:val="18"/>
        </w:rPr>
        <w:t xml:space="preserve"> every three</w:t>
      </w:r>
      <w:r w:rsidRPr="00C23B98">
        <w:rPr>
          <w:rFonts w:cs="Arial"/>
          <w:bCs/>
          <w:color w:val="000000"/>
          <w:sz w:val="18"/>
          <w:szCs w:val="18"/>
        </w:rPr>
        <w:t xml:space="preserve"> months.</w:t>
      </w:r>
      <w:r>
        <w:rPr>
          <w:szCs w:val="22"/>
        </w:rPr>
        <w:t xml:space="preserve"> </w:t>
      </w:r>
    </w:p>
  </w:footnote>
  <w:footnote w:id="19">
    <w:p w:rsidR="00FC4D13" w:rsidRDefault="00FC4D13">
      <w:pPr>
        <w:pStyle w:val="FootnoteText"/>
      </w:pPr>
      <w:r>
        <w:rPr>
          <w:rStyle w:val="FootnoteReference"/>
        </w:rPr>
        <w:footnoteRef/>
      </w:r>
      <w:r>
        <w:t xml:space="preserve"> </w:t>
      </w:r>
      <w:r w:rsidRPr="00087B93">
        <w:rPr>
          <w:szCs w:val="18"/>
        </w:rPr>
        <w:t>“</w:t>
      </w:r>
      <w:r w:rsidRPr="00087B93">
        <w:rPr>
          <w:rFonts w:cs="Arial"/>
          <w:bCs/>
          <w:color w:val="000000"/>
          <w:szCs w:val="18"/>
        </w:rPr>
        <w:t>GDP has grown by a compounded rate of 2.6% a year since 1948”</w:t>
      </w:r>
      <w:r>
        <w:rPr>
          <w:rFonts w:cs="Arial"/>
          <w:bCs/>
          <w:color w:val="000000"/>
          <w:szCs w:val="18"/>
        </w:rPr>
        <w:t>, long-term profile of GDP in the UK, ONS, Aug 2013</w:t>
      </w:r>
    </w:p>
  </w:footnote>
  <w:footnote w:id="20">
    <w:p w:rsidR="00FC4D13" w:rsidRDefault="00FC4D13">
      <w:pPr>
        <w:pStyle w:val="FootnoteText"/>
      </w:pPr>
      <w:r>
        <w:rPr>
          <w:rStyle w:val="FootnoteReference"/>
        </w:rPr>
        <w:footnoteRef/>
      </w:r>
      <w:r>
        <w:t xml:space="preserve"> Bank of England op cit, p6</w:t>
      </w:r>
    </w:p>
  </w:footnote>
  <w:footnote w:id="21">
    <w:p w:rsidR="00FC4D13" w:rsidRDefault="00FC4D13">
      <w:pPr>
        <w:pStyle w:val="FootnoteText"/>
      </w:pPr>
      <w:r>
        <w:rPr>
          <w:rStyle w:val="FootnoteReference"/>
        </w:rPr>
        <w:footnoteRef/>
      </w:r>
      <w:r>
        <w:t>. ONS UK “Blue Book” national accounts.</w:t>
      </w:r>
      <w:r w:rsidRPr="00410BF5">
        <w:t xml:space="preserve"> </w:t>
      </w:r>
      <w:r>
        <w:t>Source, table: table 6.9.1, line AF2.</w:t>
      </w:r>
      <w:r w:rsidRPr="00410BF5">
        <w:t xml:space="preserve"> </w:t>
      </w:r>
      <w:r>
        <w:t>Reserves of private non-financial corporations only</w:t>
      </w:r>
    </w:p>
  </w:footnote>
  <w:footnote w:id="22">
    <w:p w:rsidR="00FC4D13" w:rsidRDefault="00FC4D13" w:rsidP="00E729F9">
      <w:pPr>
        <w:pStyle w:val="FootnoteText"/>
      </w:pPr>
      <w:r>
        <w:rPr>
          <w:rStyle w:val="FootnoteReference"/>
        </w:rPr>
        <w:footnoteRef/>
      </w:r>
      <w:r>
        <w:t xml:space="preserve"> Bank of England inflation report, August 2014, p36.</w:t>
      </w:r>
    </w:p>
  </w:footnote>
  <w:footnote w:id="23">
    <w:p w:rsidR="00FC4D13" w:rsidRDefault="00FC4D13">
      <w:pPr>
        <w:pStyle w:val="FootnoteText"/>
      </w:pPr>
      <w:r>
        <w:rPr>
          <w:rStyle w:val="FootnoteReference"/>
        </w:rPr>
        <w:footnoteRef/>
      </w:r>
      <w:r>
        <w:t xml:space="preserve"> Source: Family resource survey, DWP, 2012/2013 </w:t>
      </w:r>
    </w:p>
  </w:footnote>
  <w:footnote w:id="24">
    <w:p w:rsidR="00FC4D13" w:rsidRDefault="00FC4D13">
      <w:pPr>
        <w:pStyle w:val="FootnoteText"/>
      </w:pPr>
      <w:r>
        <w:rPr>
          <w:rStyle w:val="FootnoteReference"/>
        </w:rPr>
        <w:footnoteRef/>
      </w:r>
      <w:r>
        <w:t xml:space="preserve"> Bank of England op cit, p30.</w:t>
      </w:r>
    </w:p>
  </w:footnote>
  <w:footnote w:id="25">
    <w:p w:rsidR="00FC4D13" w:rsidRDefault="00FC4D13" w:rsidP="0048264B">
      <w:pPr>
        <w:pStyle w:val="FootnoteText"/>
      </w:pPr>
      <w:r>
        <w:rPr>
          <w:rStyle w:val="FootnoteReference"/>
        </w:rPr>
        <w:footnoteRef/>
      </w:r>
      <w:r>
        <w:t xml:space="preserve"> Bank of England, op cit, p37.</w:t>
      </w:r>
    </w:p>
  </w:footnote>
  <w:footnote w:id="26">
    <w:p w:rsidR="00FC4D13" w:rsidRDefault="00FC4D13">
      <w:pPr>
        <w:pStyle w:val="FootnoteText"/>
      </w:pPr>
      <w:r>
        <w:rPr>
          <w:rStyle w:val="FootnoteReference"/>
        </w:rPr>
        <w:footnoteRef/>
      </w:r>
      <w:r>
        <w:t xml:space="preserve"> ONS productivity statistics, Q1 2014: </w:t>
      </w:r>
      <w:hyperlink r:id="rId8" w:history="1">
        <w:r w:rsidRPr="0014787E">
          <w:rPr>
            <w:rStyle w:val="Hyperlink"/>
          </w:rPr>
          <w:t>http://www.ons.gov.uk/ons/taxonomy/index.html?nscl=Productivity+Measures#tab-data-tables</w:t>
        </w:r>
      </w:hyperlink>
    </w:p>
  </w:footnote>
  <w:footnote w:id="27">
    <w:p w:rsidR="00FC4D13" w:rsidRDefault="00FC4D13">
      <w:pPr>
        <w:pStyle w:val="FootnoteText"/>
      </w:pPr>
      <w:r>
        <w:rPr>
          <w:rStyle w:val="FootnoteReference"/>
        </w:rPr>
        <w:footnoteRef/>
      </w:r>
      <w:r>
        <w:t xml:space="preserve"> “Record fall in youth unemployment”, DWP press release, 13 august 2013: </w:t>
      </w:r>
      <w:hyperlink r:id="rId9" w:history="1">
        <w:r w:rsidRPr="006F4724">
          <w:rPr>
            <w:rStyle w:val="Hyperlink"/>
          </w:rPr>
          <w:t>https://www.gov.uk/government/news/record-fall-in-youth-unemployment</w:t>
        </w:r>
      </w:hyperlink>
    </w:p>
  </w:footnote>
  <w:footnote w:id="28">
    <w:p w:rsidR="00FC4D13" w:rsidRDefault="00FC4D13">
      <w:pPr>
        <w:pStyle w:val="FootnoteText"/>
      </w:pPr>
      <w:r>
        <w:rPr>
          <w:rStyle w:val="FootnoteReference"/>
        </w:rPr>
        <w:footnoteRef/>
      </w:r>
      <w:r>
        <w:t xml:space="preserve"> DfE NEET quarterly brief April to June 2014, table 3: </w:t>
      </w:r>
      <w:hyperlink r:id="rId10" w:history="1">
        <w:r w:rsidRPr="00314A07">
          <w:rPr>
            <w:rStyle w:val="Hyperlink"/>
          </w:rPr>
          <w:t>https://www.gov.uk/government/uploads/system/uploads/attachment_data/file/346024/Quarterly_Brief_NEET_Q2_2014_FINAL.pdf</w:t>
        </w:r>
      </w:hyperlink>
    </w:p>
  </w:footnote>
  <w:footnote w:id="29">
    <w:p w:rsidR="00FC4D13" w:rsidRDefault="00FC4D13" w:rsidP="001C6BC9">
      <w:pPr>
        <w:pStyle w:val="FootnoteText"/>
      </w:pPr>
      <w:r>
        <w:rPr>
          <w:rStyle w:val="FootnoteReference"/>
        </w:rPr>
        <w:footnoteRef/>
      </w:r>
      <w:r>
        <w:t xml:space="preserve"> DfE NEET quarterly brief April to June 2014, op cit.: </w:t>
      </w:r>
    </w:p>
  </w:footnote>
  <w:footnote w:id="30">
    <w:p w:rsidR="00FC4D13" w:rsidRDefault="00FC4D13">
      <w:pPr>
        <w:pStyle w:val="FootnoteText"/>
      </w:pPr>
      <w:r>
        <w:rPr>
          <w:rStyle w:val="FootnoteReference"/>
        </w:rPr>
        <w:footnoteRef/>
      </w:r>
      <w:r>
        <w:t xml:space="preserve"> “Future of apprentices in England: Richardson review next steps, BIS, March 2014 </w:t>
      </w:r>
      <w:hyperlink r:id="rId11" w:history="1">
        <w:r w:rsidRPr="003D04BE">
          <w:rPr>
            <w:rStyle w:val="Hyperlink"/>
          </w:rPr>
          <w:t>https://www.gov.uk/government/consultations/future-of-apprenticeships-in-england-richard-review-next-steps</w:t>
        </w:r>
      </w:hyperlink>
    </w:p>
  </w:footnote>
  <w:footnote w:id="31">
    <w:p w:rsidR="00FC4D13" w:rsidRDefault="00FC4D13">
      <w:pPr>
        <w:pStyle w:val="FootnoteText"/>
      </w:pPr>
      <w:r>
        <w:rPr>
          <w:rStyle w:val="FootnoteReference"/>
        </w:rPr>
        <w:footnoteRef/>
      </w:r>
      <w:r>
        <w:t xml:space="preserve"> BIS “apprentice pay survey 2012: research findings,” 2013, p31:  </w:t>
      </w:r>
      <w:hyperlink r:id="rId12" w:history="1">
        <w:r w:rsidRPr="007136B8">
          <w:rPr>
            <w:rStyle w:val="Hyperlink"/>
          </w:rPr>
          <w:t>https://www.gov.uk/government/publications/apprenticeship-pay-survey-2012</w:t>
        </w:r>
      </w:hyperlink>
      <w:r w:rsidRPr="00BC3E14">
        <w:t xml:space="preserve"> </w:t>
      </w:r>
      <w:r>
        <w:t xml:space="preserve">the research covered England, Wales and Northern Ireland, and was published, after some delay, in October 2013.  </w:t>
      </w:r>
    </w:p>
  </w:footnote>
  <w:footnote w:id="32">
    <w:p w:rsidR="00FC4D13" w:rsidRDefault="00FC4D13">
      <w:pPr>
        <w:pStyle w:val="FootnoteText"/>
      </w:pPr>
      <w:r>
        <w:rPr>
          <w:rStyle w:val="FootnoteReference"/>
        </w:rPr>
        <w:footnoteRef/>
      </w:r>
      <w:r>
        <w:t xml:space="preserve"> Ibid, p31</w:t>
      </w:r>
    </w:p>
  </w:footnote>
  <w:footnote w:id="33">
    <w:p w:rsidR="00FC4D13" w:rsidRDefault="00FC4D13">
      <w:pPr>
        <w:pStyle w:val="FootnoteText"/>
      </w:pPr>
      <w:r>
        <w:rPr>
          <w:rStyle w:val="FootnoteReference"/>
        </w:rPr>
        <w:footnoteRef/>
      </w:r>
      <w:r>
        <w:t xml:space="preserve"> Ibid, p12</w:t>
      </w:r>
    </w:p>
  </w:footnote>
  <w:footnote w:id="34">
    <w:p w:rsidR="00FC4D13" w:rsidRPr="00565443" w:rsidRDefault="00FC4D13" w:rsidP="001C4AF9">
      <w:pPr>
        <w:widowControl/>
        <w:spacing w:before="100" w:beforeAutospacing="1" w:after="100" w:afterAutospacing="1"/>
        <w:rPr>
          <w:color w:val="404040" w:themeColor="text1" w:themeTint="BF"/>
          <w:szCs w:val="18"/>
        </w:rPr>
      </w:pPr>
      <w:r>
        <w:rPr>
          <w:rStyle w:val="FootnoteReference"/>
        </w:rPr>
        <w:footnoteRef/>
      </w:r>
      <w:r>
        <w:t xml:space="preserve"> </w:t>
      </w:r>
      <w:r w:rsidRPr="00565443">
        <w:rPr>
          <w:rFonts w:ascii="Sabon" w:hAnsi="Sabon"/>
          <w:sz w:val="18"/>
          <w:szCs w:val="18"/>
        </w:rPr>
        <w:t>See, for example, Barnsley College: “</w:t>
      </w:r>
      <w:r w:rsidRPr="00CA454D">
        <w:rPr>
          <w:rFonts w:ascii="Sabon" w:hAnsi="Sabon"/>
          <w:bCs/>
          <w:sz w:val="18"/>
          <w:szCs w:val="18"/>
        </w:rPr>
        <w:t xml:space="preserve">If you are a school leaver, currently unemployed or looking to start a new career, we can help you to find the right Apprenticeship and employer for you.” </w:t>
      </w:r>
      <w:hyperlink r:id="rId13" w:history="1">
        <w:r w:rsidRPr="00CA454D">
          <w:rPr>
            <w:rStyle w:val="Hyperlink"/>
            <w:rFonts w:ascii="Sabon" w:hAnsi="Sabon"/>
            <w:bCs/>
            <w:color w:val="365F91" w:themeColor="accent1" w:themeShade="BF"/>
            <w:sz w:val="18"/>
            <w:szCs w:val="18"/>
          </w:rPr>
          <w:t>http://www.barnsley.ac.uk/employers/become-an-apprentice</w:t>
        </w:r>
      </w:hyperlink>
      <w:r w:rsidRPr="00CA454D">
        <w:rPr>
          <w:rFonts w:ascii="Sabon" w:hAnsi="Sabon"/>
          <w:bCs/>
          <w:sz w:val="18"/>
          <w:szCs w:val="18"/>
        </w:rPr>
        <w:t xml:space="preserve"> . As second example, one of dozens that can easily be found is more interventionist. Highbury college advertises to employers that it will: “</w:t>
      </w:r>
      <w:r w:rsidRPr="00565443">
        <w:rPr>
          <w:rFonts w:ascii="Sabon" w:hAnsi="Sabon"/>
          <w:snapToGrid/>
          <w:sz w:val="18"/>
          <w:szCs w:val="18"/>
          <w:lang w:eastAsia="en-GB"/>
        </w:rPr>
        <w:t>Agree the job description, wage and Apprenticeship programme with you ; Advertise the vacancy FREE of charge; (and)</w:t>
      </w:r>
      <w:r w:rsidRPr="00CA454D">
        <w:rPr>
          <w:snapToGrid/>
          <w:szCs w:val="24"/>
          <w:lang w:eastAsia="en-GB"/>
        </w:rPr>
        <w:t xml:space="preserve"> </w:t>
      </w:r>
      <w:r w:rsidRPr="00CA454D">
        <w:rPr>
          <w:rFonts w:ascii="Sabon" w:hAnsi="Sabon"/>
          <w:snapToGrid/>
          <w:sz w:val="18"/>
          <w:szCs w:val="18"/>
          <w:lang w:eastAsia="en-GB"/>
        </w:rPr>
        <w:t xml:space="preserve">Match your vacancy to current students that would like to take up an Apprenticeship position”. </w:t>
      </w:r>
      <w:hyperlink r:id="rId14" w:history="1">
        <w:r w:rsidRPr="00565443">
          <w:rPr>
            <w:rStyle w:val="Hyperlink"/>
            <w:rFonts w:ascii="Sabon" w:hAnsi="Sabon"/>
            <w:snapToGrid/>
            <w:sz w:val="18"/>
            <w:szCs w:val="18"/>
            <w:lang w:eastAsia="en-GB"/>
          </w:rPr>
          <w:t>http://www.highbury.ac.uk/client/content.asp?contentid=359</w:t>
        </w:r>
      </w:hyperlink>
    </w:p>
  </w:footnote>
  <w:footnote w:id="35">
    <w:p w:rsidR="00FC4D13" w:rsidRDefault="00FC4D13">
      <w:pPr>
        <w:pStyle w:val="FootnoteText"/>
      </w:pPr>
      <w:r>
        <w:rPr>
          <w:rStyle w:val="FootnoteReference"/>
        </w:rPr>
        <w:footnoteRef/>
      </w:r>
      <w:r>
        <w:t xml:space="preserve"> Bis apprentice pay report 2013,  p18</w:t>
      </w:r>
    </w:p>
  </w:footnote>
  <w:footnote w:id="36">
    <w:p w:rsidR="00FC4D13" w:rsidRDefault="00FC4D13" w:rsidP="00BC3E14">
      <w:pPr>
        <w:pStyle w:val="FootnoteText"/>
      </w:pPr>
      <w:r>
        <w:rPr>
          <w:rStyle w:val="FootnoteReference"/>
        </w:rPr>
        <w:footnoteRef/>
      </w:r>
      <w:r>
        <w:t xml:space="preserve"> Ibid, p8</w:t>
      </w:r>
    </w:p>
  </w:footnote>
  <w:footnote w:id="37">
    <w:p w:rsidR="00FC4D13" w:rsidRDefault="00FC4D13">
      <w:pPr>
        <w:pStyle w:val="FootnoteText"/>
      </w:pPr>
      <w:r>
        <w:rPr>
          <w:rStyle w:val="FootnoteReference"/>
        </w:rPr>
        <w:footnoteRef/>
      </w:r>
      <w:r>
        <w:t xml:space="preserve"> </w:t>
      </w:r>
      <w:hyperlink r:id="rId15" w:history="1">
        <w:r w:rsidRPr="00DE43C1">
          <w:rPr>
            <w:rStyle w:val="Hyperlink"/>
          </w:rPr>
          <w:t>https://www.gov.uk/government/publications/learner-participation-outcomes-and-level-of-highest-qualification-held</w:t>
        </w:r>
      </w:hyperlink>
    </w:p>
  </w:footnote>
  <w:footnote w:id="38">
    <w:p w:rsidR="00FC4D13" w:rsidRDefault="00FC4D13">
      <w:pPr>
        <w:pStyle w:val="FootnoteText"/>
      </w:pPr>
      <w:r>
        <w:rPr>
          <w:rStyle w:val="FootnoteReference"/>
        </w:rPr>
        <w:footnoteRef/>
      </w:r>
      <w:r>
        <w:t xml:space="preserve"> BIS pay survey, op cit, p11</w:t>
      </w:r>
    </w:p>
  </w:footnote>
  <w:footnote w:id="39">
    <w:p w:rsidR="00FC4D13" w:rsidRDefault="00FC4D13">
      <w:pPr>
        <w:pStyle w:val="FootnoteText"/>
      </w:pPr>
      <w:r>
        <w:rPr>
          <w:rStyle w:val="FootnoteReference"/>
        </w:rPr>
        <w:footnoteRef/>
      </w:r>
      <w:r>
        <w:t xml:space="preserve"> </w:t>
      </w:r>
      <w:r w:rsidRPr="00DE43C1">
        <w:rPr>
          <w:szCs w:val="18"/>
        </w:rPr>
        <w:t>Source: SFA/BIS</w:t>
      </w:r>
      <w:r w:rsidRPr="00DE43C1">
        <w:rPr>
          <w:b/>
          <w:szCs w:val="18"/>
        </w:rPr>
        <w:t xml:space="preserve"> “</w:t>
      </w:r>
      <w:r w:rsidRPr="00DE43C1">
        <w:rPr>
          <w:szCs w:val="18"/>
        </w:rPr>
        <w:t xml:space="preserve">Further education and skills: statistical first release”, </w:t>
      </w:r>
      <w:r>
        <w:rPr>
          <w:szCs w:val="18"/>
        </w:rPr>
        <w:t xml:space="preserve">op cit, </w:t>
      </w:r>
      <w:r w:rsidRPr="00DE43C1">
        <w:rPr>
          <w:szCs w:val="18"/>
        </w:rPr>
        <w:t>table 5</w:t>
      </w:r>
    </w:p>
  </w:footnote>
  <w:footnote w:id="40">
    <w:p w:rsidR="00FC4D13" w:rsidRDefault="00FC4D13">
      <w:pPr>
        <w:pStyle w:val="FootnoteText"/>
      </w:pPr>
      <w:r>
        <w:rPr>
          <w:rStyle w:val="FootnoteReference"/>
        </w:rPr>
        <w:footnoteRef/>
      </w:r>
      <w:r>
        <w:t xml:space="preserve"> BIS pay survey, op cit, p9.</w:t>
      </w:r>
    </w:p>
  </w:footnote>
  <w:footnote w:id="41">
    <w:p w:rsidR="00FC4D13" w:rsidRDefault="00FC4D13">
      <w:pPr>
        <w:pStyle w:val="FootnoteText"/>
      </w:pPr>
      <w:r>
        <w:rPr>
          <w:rStyle w:val="FootnoteReference"/>
        </w:rPr>
        <w:footnoteRef/>
      </w:r>
      <w:r>
        <w:t xml:space="preserve"> From "Apprenticeship Vacancies", a government website. Vacancy offered by Hartlepool Sixth Form College, extracted 19 July 2014. </w:t>
      </w:r>
      <w:hyperlink r:id="rId16" w:history="1">
        <w:r w:rsidRPr="00226E1B">
          <w:rPr>
            <w:rStyle w:val="Hyperlink"/>
          </w:rPr>
          <w:t>https://apprenticeshipvacancymatchingservice.lsc.gov.uk/Navms/Forms/Vacancy/VacancyDetails.aspx?Query=mt7vHmJFxs0j1H9YmdWyrLEnWCOCN84V2%2fc%2f6JLkCoNMvpWR2Jz0rOs1C%2bhhSwIQ5ZOpePffHQ47itLtpb98tbgitXCumN%2bCAmBhkyIMh6WJRcaxVUY1a%2bPOgU72g4JizDchCKvhuYRBgha5c4oPoY9vIjD79UNUOaB9Ez4evesQ1VBBhwUj9YPwv0RQLmnTRvLtqDcK28C3aSkp%2b4Jt15HU%2fEi4qakHR%2bwUvzV2C3Uvp9%2btve9U4nUGY2bBr%2bOJ%2fIJ4CUAyk0lRzlvw%2feBQQ9eZyvgpxHxBHNPnGd2nmR8%3d</w:t>
        </w:r>
      </w:hyperlink>
    </w:p>
  </w:footnote>
  <w:footnote w:id="42">
    <w:p w:rsidR="00FC4D13" w:rsidRDefault="00FC4D13">
      <w:pPr>
        <w:pStyle w:val="FootnoteText"/>
      </w:pPr>
      <w:r>
        <w:rPr>
          <w:rStyle w:val="FootnoteReference"/>
        </w:rPr>
        <w:footnoteRef/>
      </w:r>
      <w:r>
        <w:t xml:space="preserve"> Business support apprentice, Wavex: </w:t>
      </w:r>
      <w:r w:rsidRPr="00821B5A">
        <w:t>http://www.simplyofficejobs.co.uk/job/business-support-apprentice/2800597?utm_source=Indeed&amp;utm_medium=organic&amp;utm_campaign=Indeed</w:t>
      </w:r>
    </w:p>
  </w:footnote>
  <w:footnote w:id="43">
    <w:p w:rsidR="00FC4D13" w:rsidRDefault="00FC4D13">
      <w:pPr>
        <w:pStyle w:val="FootnoteText"/>
      </w:pPr>
      <w:r>
        <w:rPr>
          <w:rStyle w:val="FootnoteReference"/>
        </w:rPr>
        <w:footnoteRef/>
      </w:r>
      <w:r>
        <w:t xml:space="preserve"> Business administration apprentice  for 3aaa Deptford: </w:t>
      </w:r>
      <w:hyperlink r:id="rId17" w:history="1">
        <w:r w:rsidRPr="00314AED">
          <w:rPr>
            <w:rStyle w:val="Hyperlink"/>
          </w:rPr>
          <w:t>http://www.totaljobs.com/JobSearch/JobDetails.aspx?JobId=60180753</w:t>
        </w:r>
      </w:hyperlink>
    </w:p>
  </w:footnote>
  <w:footnote w:id="44">
    <w:p w:rsidR="00FC4D13" w:rsidRDefault="00FC4D13" w:rsidP="00A1469D">
      <w:pPr>
        <w:pStyle w:val="FootnoteText"/>
      </w:pPr>
      <w:r>
        <w:rPr>
          <w:rStyle w:val="FootnoteReference"/>
        </w:rPr>
        <w:footnoteRef/>
      </w:r>
      <w:r>
        <w:t xml:space="preserve"> “Beyond the Bottom Line”, K.Lawton and M.Pennycook, IPPR, 2013:</w:t>
      </w:r>
      <w:hyperlink r:id="rId18" w:history="1">
        <w:r w:rsidRPr="001626BD">
          <w:rPr>
            <w:rStyle w:val="Hyperlink"/>
          </w:rPr>
          <w:t>http://www.ippr.org/publications/beyond-the-bottom-line-the-challenges-and-opportunities-of-a-living-wage</w:t>
        </w:r>
      </w:hyperlink>
    </w:p>
    <w:p w:rsidR="00FC4D13" w:rsidRPr="001626BD" w:rsidRDefault="00FC4D13" w:rsidP="00A1469D">
      <w:pPr>
        <w:widowControl/>
        <w:autoSpaceDE w:val="0"/>
        <w:autoSpaceDN w:val="0"/>
        <w:adjustRightInd w:val="0"/>
        <w:rPr>
          <w:rFonts w:ascii="Sabon" w:hAnsi="Sabon"/>
          <w:sz w:val="18"/>
          <w:szCs w:val="18"/>
        </w:rPr>
      </w:pPr>
      <w:r w:rsidRPr="001626BD">
        <w:rPr>
          <w:rFonts w:ascii="Sabon" w:hAnsi="Sabon"/>
          <w:sz w:val="18"/>
          <w:szCs w:val="18"/>
        </w:rPr>
        <w:t>H</w:t>
      </w:r>
      <w:r w:rsidDel="00754B57">
        <w:t xml:space="preserve"> </w:t>
      </w:r>
    </w:p>
  </w:footnote>
  <w:footnote w:id="45">
    <w:p w:rsidR="00FC4D13" w:rsidRDefault="00FC4D13">
      <w:pPr>
        <w:widowControl/>
        <w:autoSpaceDE w:val="0"/>
        <w:autoSpaceDN w:val="0"/>
        <w:adjustRightInd w:val="0"/>
      </w:pPr>
      <w:r>
        <w:rPr>
          <w:rStyle w:val="FootnoteReference"/>
        </w:rPr>
        <w:footnoteRef/>
      </w:r>
      <w:r>
        <w:t xml:space="preserve"> </w:t>
      </w:r>
      <w:r w:rsidRPr="001626BD">
        <w:rPr>
          <w:rFonts w:ascii="Sabon" w:hAnsi="Sabon"/>
          <w:sz w:val="18"/>
          <w:szCs w:val="18"/>
        </w:rPr>
        <w:t>Howard Reed, “</w:t>
      </w:r>
      <w:r w:rsidRPr="001626BD">
        <w:rPr>
          <w:rFonts w:ascii="Sabon" w:hAnsi="Sabon" w:cs="Arial"/>
          <w:bCs/>
          <w:snapToGrid/>
          <w:sz w:val="18"/>
          <w:szCs w:val="18"/>
          <w:lang w:eastAsia="en-GB"/>
        </w:rPr>
        <w:t xml:space="preserve">The Economic Impact of Extending the Living Wage to all Employees in the UK”, Landman </w:t>
      </w:r>
      <w:r>
        <w:rPr>
          <w:rFonts w:ascii="Sabon" w:hAnsi="Sabon" w:cs="Arial"/>
          <w:bCs/>
          <w:snapToGrid/>
          <w:sz w:val="18"/>
          <w:szCs w:val="18"/>
          <w:lang w:eastAsia="en-GB"/>
        </w:rPr>
        <w:t>E</w:t>
      </w:r>
      <w:r w:rsidRPr="001626BD">
        <w:rPr>
          <w:rFonts w:ascii="Sabon" w:hAnsi="Sabon" w:cs="Arial"/>
          <w:bCs/>
          <w:snapToGrid/>
          <w:sz w:val="18"/>
          <w:szCs w:val="18"/>
          <w:lang w:eastAsia="en-GB"/>
        </w:rPr>
        <w:t>conomics</w:t>
      </w:r>
      <w:r>
        <w:rPr>
          <w:rFonts w:ascii="Sabon" w:hAnsi="Sabon" w:cs="Arial"/>
          <w:bCs/>
          <w:snapToGrid/>
          <w:sz w:val="18"/>
          <w:szCs w:val="18"/>
          <w:lang w:eastAsia="en-GB"/>
        </w:rPr>
        <w:t>, pps 12-15</w:t>
      </w:r>
      <w:r w:rsidRPr="001626BD">
        <w:rPr>
          <w:rFonts w:ascii="Sabon" w:hAnsi="Sabon" w:cs="Arial"/>
          <w:bCs/>
          <w:snapToGrid/>
          <w:sz w:val="18"/>
          <w:szCs w:val="18"/>
          <w:lang w:eastAsia="en-GB"/>
        </w:rPr>
        <w:t xml:space="preserve"> 2014:</w:t>
      </w:r>
      <w:hyperlink r:id="rId19" w:history="1">
        <w:r w:rsidRPr="001626BD">
          <w:rPr>
            <w:rStyle w:val="Hyperlink"/>
            <w:rFonts w:ascii="Sabon" w:hAnsi="Sabon" w:cs="Arial"/>
            <w:bCs/>
            <w:snapToGrid/>
            <w:sz w:val="18"/>
            <w:szCs w:val="18"/>
            <w:lang w:eastAsia="en-GB"/>
          </w:rPr>
          <w:t>https://www.unison.org.uk/upload/sharepoint/Briefings%20and%20Circulars/Landman%20Economics%20Living%20Wage%20Report%20-%20Final.pdf</w:t>
        </w:r>
      </w:hyperlink>
    </w:p>
  </w:footnote>
  <w:footnote w:id="46">
    <w:p w:rsidR="00FC4D13" w:rsidRDefault="00FC4D13">
      <w:pPr>
        <w:pStyle w:val="FootnoteText"/>
      </w:pPr>
      <w:r>
        <w:rPr>
          <w:rStyle w:val="FootnoteReference"/>
        </w:rPr>
        <w:footnoteRef/>
      </w:r>
      <w:r>
        <w:t xml:space="preserve"> BIS, Final evidence to the Low Pay commissions, Jan 2014, HMT section on fiscal impact, p17 </w:t>
      </w:r>
    </w:p>
  </w:footnote>
  <w:footnote w:id="47">
    <w:p w:rsidR="00FC4D13" w:rsidRDefault="00FC4D13" w:rsidP="00A1469D">
      <w:pPr>
        <w:pStyle w:val="FootnoteText"/>
      </w:pPr>
      <w:r>
        <w:rPr>
          <w:rStyle w:val="FootnoteReference"/>
        </w:rPr>
        <w:footnoteRef/>
      </w:r>
      <w:r>
        <w:t xml:space="preserve"> As described in LPC report 2014, p192.</w:t>
      </w:r>
    </w:p>
  </w:footnote>
  <w:footnote w:id="48">
    <w:p w:rsidR="00FC4D13" w:rsidRDefault="00FC4D13">
      <w:pPr>
        <w:pStyle w:val="FootnoteText"/>
      </w:pPr>
      <w:r>
        <w:rPr>
          <w:rStyle w:val="FootnoteReference"/>
        </w:rPr>
        <w:footnoteRef/>
      </w:r>
      <w:r>
        <w:t xml:space="preserve"> Government gets tough with employers failing to pay minimum wage, press release, 28 Feb 2014: </w:t>
      </w:r>
      <w:hyperlink r:id="rId20" w:history="1">
        <w:r w:rsidRPr="00C2732B">
          <w:rPr>
            <w:rStyle w:val="Hyperlink"/>
          </w:rPr>
          <w:t>https://www.gov.uk/government/news/government-gets-tough-with-employers-failing-to-pay-minimum-wage</w:t>
        </w:r>
      </w:hyperlink>
    </w:p>
  </w:footnote>
  <w:footnote w:id="49">
    <w:p w:rsidR="00FC4D13" w:rsidRPr="00C15C13" w:rsidRDefault="00FC4D13" w:rsidP="00C15C13">
      <w:pPr>
        <w:pStyle w:val="T5TextBody"/>
        <w:spacing w:line="276" w:lineRule="auto"/>
        <w:rPr>
          <w:szCs w:val="22"/>
          <w:lang w:val="en-US" w:eastAsia="en-GB"/>
        </w:rPr>
      </w:pPr>
      <w:r>
        <w:rPr>
          <w:rStyle w:val="FootnoteReference"/>
        </w:rPr>
        <w:footnoteRef/>
      </w:r>
      <w:r>
        <w:t xml:space="preserve"> </w:t>
      </w:r>
      <w:r w:rsidRPr="00103160">
        <w:rPr>
          <w:sz w:val="18"/>
          <w:szCs w:val="18"/>
          <w:lang w:val="en-US" w:eastAsia="en-GB"/>
        </w:rPr>
        <w:t>We note that the penalties for offences such as the infringement of trademarks are very much more severe than those available to the courts in cases where employers systematically che</w:t>
      </w:r>
      <w:r>
        <w:rPr>
          <w:sz w:val="18"/>
          <w:szCs w:val="18"/>
          <w:lang w:val="en-US" w:eastAsia="en-GB"/>
        </w:rPr>
        <w:t>a</w:t>
      </w:r>
      <w:r w:rsidRPr="00103160">
        <w:rPr>
          <w:sz w:val="18"/>
          <w:szCs w:val="18"/>
          <w:lang w:val="en-US" w:eastAsia="en-GB"/>
        </w:rPr>
        <w:t xml:space="preserve">t low paid workers out of the minimum wage. </w:t>
      </w:r>
      <w:r>
        <w:rPr>
          <w:sz w:val="18"/>
          <w:szCs w:val="18"/>
          <w:lang w:val="en-US" w:eastAsia="en-GB"/>
        </w:rPr>
        <w:t>Boot-legging shirts, for example, can lead to up to ten years in prison</w:t>
      </w:r>
      <w:r w:rsidRPr="00103160">
        <w:rPr>
          <w:sz w:val="18"/>
          <w:szCs w:val="18"/>
          <w:lang w:val="en-US" w:eastAsia="en-GB"/>
        </w:rPr>
        <w:t xml:space="preserve">    </w:t>
      </w:r>
    </w:p>
  </w:footnote>
  <w:footnote w:id="50">
    <w:p w:rsidR="00FC4D13" w:rsidRDefault="00FC4D13">
      <w:pPr>
        <w:pStyle w:val="FootnoteText"/>
      </w:pPr>
      <w:r>
        <w:rPr>
          <w:rStyle w:val="FootnoteReference"/>
        </w:rPr>
        <w:footnoteRef/>
      </w:r>
      <w:r>
        <w:t xml:space="preserve"> BIS, “final government evidence to the low pay commission”, Jan 2014, p66</w:t>
      </w:r>
    </w:p>
  </w:footnote>
  <w:footnote w:id="51">
    <w:p w:rsidR="00FC4D13" w:rsidRDefault="00FC4D13">
      <w:pPr>
        <w:pStyle w:val="FootnoteText"/>
      </w:pPr>
      <w:r>
        <w:rPr>
          <w:rStyle w:val="FootnoteReference"/>
        </w:rPr>
        <w:footnoteRef/>
      </w:r>
      <w:r>
        <w:t xml:space="preserve"> 5.6 weeks statutory entitlement as a percentage of the 52 week year.</w:t>
      </w:r>
    </w:p>
  </w:footnote>
  <w:footnote w:id="52">
    <w:p w:rsidR="00FC4D13" w:rsidRDefault="00FC4D13">
      <w:pPr>
        <w:pStyle w:val="FootnoteText"/>
      </w:pPr>
      <w:r>
        <w:rPr>
          <w:rStyle w:val="FootnoteReference"/>
        </w:rPr>
        <w:footnoteRef/>
      </w:r>
      <w:r>
        <w:t xml:space="preserve"> Bis op cit.</w:t>
      </w:r>
    </w:p>
  </w:footnote>
  <w:footnote w:id="53">
    <w:p w:rsidR="00FC4D13" w:rsidRDefault="00FC4D13" w:rsidP="005664D9">
      <w:pPr>
        <w:pStyle w:val="Default"/>
      </w:pPr>
      <w:r>
        <w:rPr>
          <w:rStyle w:val="FootnoteReference"/>
        </w:rPr>
        <w:footnoteRef/>
      </w:r>
      <w:r>
        <w:t xml:space="preserve"> </w:t>
      </w:r>
      <w:r w:rsidRPr="005664D9">
        <w:rPr>
          <w:rFonts w:ascii="Sabon" w:hAnsi="Sabon"/>
          <w:sz w:val="18"/>
          <w:szCs w:val="18"/>
        </w:rPr>
        <w:t>HM courts and tribunal service.</w:t>
      </w:r>
      <w:r>
        <w:t xml:space="preserve"> “</w:t>
      </w:r>
      <w:r w:rsidRPr="005664D9">
        <w:rPr>
          <w:rFonts w:ascii="Sabon" w:hAnsi="Sabon" w:cs="Bliss 2 Medium"/>
          <w:sz w:val="18"/>
          <w:szCs w:val="18"/>
        </w:rPr>
        <w:t>Employment tribunal fees for individuals</w:t>
      </w:r>
      <w:r>
        <w:rPr>
          <w:rFonts w:ascii="Sabon" w:hAnsi="Sabon" w:cs="Bliss 2 Medium"/>
          <w:sz w:val="18"/>
          <w:szCs w:val="18"/>
        </w:rPr>
        <w:t xml:space="preserve"> f</w:t>
      </w:r>
      <w:r w:rsidRPr="005664D9">
        <w:rPr>
          <w:rFonts w:ascii="Sabon" w:hAnsi="Sabon" w:cs="Bliss 2 Light"/>
          <w:sz w:val="18"/>
          <w:szCs w:val="18"/>
        </w:rPr>
        <w:t>rom 29 July 2013</w:t>
      </w:r>
      <w:r>
        <w:rPr>
          <w:rFonts w:ascii="Sabon" w:hAnsi="Sabon" w:cs="Bliss 2 Light"/>
          <w:sz w:val="18"/>
          <w:szCs w:val="18"/>
        </w:rPr>
        <w:t xml:space="preserve">”, 2013, p4: </w:t>
      </w:r>
      <w:hyperlink r:id="rId21" w:history="1">
        <w:r w:rsidRPr="005664D9">
          <w:rPr>
            <w:rStyle w:val="Hyperlink"/>
            <w:rFonts w:ascii="Sabon" w:hAnsi="Sabon" w:cs="Bliss 2 Light"/>
            <w:sz w:val="18"/>
            <w:szCs w:val="18"/>
          </w:rPr>
          <w:t>https://www.gov.uk/government/uploads/system/uploads/attachment_data/file/254326/T435_1113.pdf</w:t>
        </w:r>
      </w:hyperlink>
    </w:p>
  </w:footnote>
  <w:footnote w:id="54">
    <w:p w:rsidR="00FC4D13" w:rsidRDefault="00FC4D13" w:rsidP="00BD21C0">
      <w:pPr>
        <w:pStyle w:val="FootnoteText"/>
      </w:pPr>
      <w:r>
        <w:rPr>
          <w:rStyle w:val="FootnoteReference"/>
        </w:rPr>
        <w:footnoteRef/>
      </w:r>
      <w:r>
        <w:t xml:space="preserve"> </w:t>
      </w:r>
      <w:hyperlink r:id="rId22" w:history="1">
        <w:r w:rsidRPr="008F5A7D">
          <w:rPr>
            <w:rStyle w:val="Hyperlink"/>
          </w:rPr>
          <w:t>https://www.gov.uk/your-rights-if-your-employer-is-insolvent/claiming-money-owed-to-you</w:t>
        </w:r>
      </w:hyperlink>
      <w:r>
        <w:t>. Claims against the fund can be made using insolvency service form RP1</w:t>
      </w:r>
    </w:p>
  </w:footnote>
  <w:footnote w:id="55">
    <w:p w:rsidR="00FC4D13" w:rsidRPr="00D05218" w:rsidRDefault="00FC4D13" w:rsidP="00D05218">
      <w:pPr>
        <w:autoSpaceDE w:val="0"/>
        <w:autoSpaceDN w:val="0"/>
        <w:adjustRightInd w:val="0"/>
        <w:rPr>
          <w:rFonts w:ascii="Sabon" w:hAnsi="Sabon"/>
          <w:sz w:val="18"/>
          <w:szCs w:val="18"/>
        </w:rPr>
      </w:pPr>
      <w:r>
        <w:rPr>
          <w:rStyle w:val="FootnoteReference"/>
        </w:rPr>
        <w:footnoteRef/>
      </w:r>
      <w:r>
        <w:t xml:space="preserve"> </w:t>
      </w:r>
      <w:hyperlink r:id="rId23" w:history="1">
        <w:r w:rsidRPr="003B4759">
          <w:rPr>
            <w:rStyle w:val="Hyperlink"/>
            <w:rFonts w:ascii="Sabon" w:hAnsi="Sabon" w:cs="Univers55"/>
            <w:sz w:val="18"/>
            <w:szCs w:val="18"/>
          </w:rPr>
          <w:t>http://webarchive.nationalarchives.gov.uk/+/http:/www.berr.gov.uk/files/file38769.pdf</w:t>
        </w:r>
      </w:hyperlink>
      <w:r w:rsidRPr="003B4759">
        <w:rPr>
          <w:rFonts w:ascii="Sabon" w:hAnsi="Sabon" w:cs="Univers55"/>
          <w:sz w:val="18"/>
          <w:szCs w:val="18"/>
        </w:rPr>
        <w:t xml:space="preserve"> , p9</w:t>
      </w:r>
    </w:p>
    <w:p w:rsidR="00FC4D13" w:rsidRDefault="00FC4D13">
      <w:pPr>
        <w:pStyle w:val="FootnoteText"/>
      </w:pPr>
    </w:p>
  </w:footnote>
  <w:footnote w:id="56">
    <w:p w:rsidR="00FC4D13" w:rsidRDefault="00FC4D13" w:rsidP="00554371">
      <w:pPr>
        <w:pStyle w:val="FootnoteText"/>
      </w:pPr>
      <w:r>
        <w:rPr>
          <w:rStyle w:val="FootnoteReference"/>
        </w:rPr>
        <w:footnoteRef/>
      </w:r>
      <w:r>
        <w:t xml:space="preserve"> One random example offering expenses plus commission, pulled from the many internships advertised on the internet, is for a “Business Development Manager Intern” for a property and relocation company in London, which says that “we’re looking for someone who can learn and get up to speed quickly to help contribute to our business. After three months of internship the position could turn into a permanent role.”There is no suggestion that this example is breaking the law, but it does indicate a new trend in pay. </w:t>
      </w:r>
      <w:hyperlink r:id="rId24" w:history="1">
        <w:r w:rsidRPr="00554371">
          <w:rPr>
            <w:rStyle w:val="Hyperlink"/>
          </w:rPr>
          <w:t>.http://www.gumtree.com/p/jobs/business-development-manager-intern/1072658339</w:t>
        </w:r>
      </w:hyperlink>
    </w:p>
  </w:footnote>
  <w:footnote w:id="57">
    <w:p w:rsidR="00FC4D13" w:rsidRDefault="00FC4D13">
      <w:pPr>
        <w:pStyle w:val="FootnoteText"/>
      </w:pPr>
      <w:r>
        <w:rPr>
          <w:rStyle w:val="FootnoteReference"/>
        </w:rPr>
        <w:footnoteRef/>
      </w:r>
      <w:r>
        <w:t xml:space="preserve"> Hansard, 26 June 2014, </w:t>
      </w:r>
      <w:r w:rsidRPr="003B4759">
        <w:rPr>
          <w:iCs/>
        </w:rPr>
        <w:t>House of Commons</w:t>
      </w:r>
      <w:r>
        <w:rPr>
          <w:iCs/>
        </w:rPr>
        <w:t>:</w:t>
      </w:r>
      <w:r w:rsidRPr="004E470A">
        <w:t xml:space="preserve"> </w:t>
      </w:r>
      <w:hyperlink r:id="rId25" w:anchor="14062665000011" w:history="1">
        <w:r>
          <w:rPr>
            <w:rStyle w:val="Hyperlink"/>
          </w:rPr>
          <w:t>http://www.publications.parliament.uk/pa/cm201415/cmhansrd/cm140626/debtext/140626-0001.htm#14062665000011</w:t>
        </w:r>
      </w:hyperlink>
    </w:p>
  </w:footnote>
  <w:footnote w:id="58">
    <w:p w:rsidR="00FC4D13" w:rsidRDefault="00FC4D13">
      <w:pPr>
        <w:pStyle w:val="FootnoteText"/>
      </w:pPr>
      <w:r>
        <w:rPr>
          <w:rStyle w:val="FootnoteReference"/>
        </w:rPr>
        <w:footnoteRef/>
      </w:r>
      <w:r>
        <w:t xml:space="preserve"> National Audit Office, </w:t>
      </w:r>
      <w:r>
        <w:rPr>
          <w:i/>
          <w:iCs/>
        </w:rPr>
        <w:t>Adult Social Care in England: Overview</w:t>
      </w:r>
      <w:r>
        <w:t xml:space="preserve"> (March 2014), Para 2.20 </w:t>
      </w:r>
      <w:hyperlink r:id="rId26" w:history="1">
        <w:r>
          <w:rPr>
            <w:rStyle w:val="Hyperlink"/>
          </w:rPr>
          <w:t>http://www.nao.org.uk/wp-content/uploads/2015/03/Adult-social-care-in-England-overview.pdf</w:t>
        </w:r>
      </w:hyperlink>
    </w:p>
  </w:footnote>
  <w:footnote w:id="59">
    <w:p w:rsidR="00FC4D13" w:rsidRDefault="00FC4D13" w:rsidP="00F7737D">
      <w:pPr>
        <w:pStyle w:val="FootnoteText"/>
      </w:pPr>
      <w:r>
        <w:rPr>
          <w:rStyle w:val="FootnoteReference"/>
        </w:rPr>
        <w:t>[2]</w:t>
      </w:r>
      <w:r>
        <w:t xml:space="preserve"> Public Accounts Committee 6</w:t>
      </w:r>
      <w:r w:rsidRPr="003B4759">
        <w:rPr>
          <w:vertAlign w:val="superscript"/>
        </w:rPr>
        <w:t>th</w:t>
      </w:r>
      <w:r>
        <w:t xml:space="preserve"> report, July 2014, </w:t>
      </w:r>
      <w:r>
        <w:rPr>
          <w:i/>
          <w:iCs/>
        </w:rPr>
        <w:t>Adult Social Care in England</w:t>
      </w:r>
      <w:r>
        <w:t xml:space="preserve">, recommendation 5. </w:t>
      </w:r>
      <w:hyperlink r:id="rId27" w:history="1">
        <w:r>
          <w:rPr>
            <w:rStyle w:val="Hyperlink"/>
          </w:rPr>
          <w:t>http://www.publications.parliament.uk/pa/cm201415/cmselect/cmpubacc/518/518.pdf</w:t>
        </w:r>
      </w:hyperlink>
      <w:r>
        <w:t xml:space="preserve"> </w:t>
      </w:r>
    </w:p>
  </w:footnote>
  <w:footnote w:id="60">
    <w:p w:rsidR="00FC4D13" w:rsidRDefault="00FC4D13">
      <w:pPr>
        <w:pStyle w:val="FootnoteText"/>
      </w:pPr>
      <w:r>
        <w:rPr>
          <w:rStyle w:val="FootnoteReference"/>
        </w:rPr>
        <w:footnoteRef/>
      </w:r>
      <w:r>
        <w:t xml:space="preserve"> Op cit.</w:t>
      </w:r>
    </w:p>
  </w:footnote>
  <w:footnote w:id="61">
    <w:p w:rsidR="00FC4D13" w:rsidRDefault="00FC4D13">
      <w:pPr>
        <w:pStyle w:val="FootnoteText"/>
        <w:spacing w:line="276" w:lineRule="auto"/>
      </w:pPr>
      <w:r w:rsidRPr="009F05C6">
        <w:rPr>
          <w:rStyle w:val="FootnoteReference"/>
        </w:rPr>
        <w:footnoteRef/>
      </w:r>
      <w:r w:rsidRPr="009F05C6">
        <w:t xml:space="preserve"> </w:t>
      </w:r>
      <w:r w:rsidRPr="003B4759">
        <w:t>UKEAT/0128/13/BA</w:t>
      </w:r>
      <w:r w:rsidRPr="009F05C6">
        <w:t xml:space="preserve"> - http://www.employmentcasesupdate.co.uk/site.aspx?i=ed18895</w:t>
      </w:r>
    </w:p>
  </w:footnote>
  <w:footnote w:id="62">
    <w:p w:rsidR="00FC4D13" w:rsidRDefault="00FC4D13">
      <w:pPr>
        <w:pStyle w:val="FootnoteText"/>
        <w:spacing w:line="276" w:lineRule="auto"/>
      </w:pPr>
      <w:r w:rsidRPr="009F05C6">
        <w:rPr>
          <w:rStyle w:val="FootnoteReference"/>
        </w:rPr>
        <w:footnoteRef/>
      </w:r>
      <w:r w:rsidRPr="009F05C6">
        <w:t xml:space="preserve"> </w:t>
      </w:r>
      <w:r w:rsidRPr="003B4759">
        <w:t>UKEAT/0217/12/DA</w:t>
      </w:r>
      <w:r>
        <w:t xml:space="preserve"> - </w:t>
      </w:r>
      <w:r w:rsidRPr="009F05C6">
        <w:t>http://www.employmentcasesupdate.co.uk/site.aspx?i=ed22091</w:t>
      </w:r>
    </w:p>
  </w:footnote>
  <w:footnote w:id="63">
    <w:p w:rsidR="00FC4D13" w:rsidRDefault="00FC4D13" w:rsidP="00AC5857">
      <w:pPr>
        <w:pStyle w:val="FootnoteText"/>
      </w:pPr>
      <w:r>
        <w:rPr>
          <w:rStyle w:val="FootnoteReference"/>
        </w:rPr>
        <w:footnoteRef/>
      </w:r>
      <w:r>
        <w:t xml:space="preserve"> The Living Wage Commission report 2014: </w:t>
      </w:r>
      <w:hyperlink r:id="rId28" w:history="1">
        <w:r w:rsidRPr="00835C09">
          <w:rPr>
            <w:rStyle w:val="Hyperlink"/>
          </w:rPr>
          <w:t>http://livingwagecommission.org.uk/living-wage-commission-reveals-blueprint-for-lifting-1m-out-of-low-pay/</w:t>
        </w:r>
      </w:hyperlink>
    </w:p>
  </w:footnote>
  <w:footnote w:id="64">
    <w:p w:rsidR="00FC4D13" w:rsidRDefault="00FC4D13">
      <w:pPr>
        <w:pStyle w:val="FootnoteText"/>
      </w:pPr>
      <w:r>
        <w:rPr>
          <w:rStyle w:val="FootnoteReference"/>
        </w:rPr>
        <w:footnoteRef/>
      </w:r>
      <w:r>
        <w:t xml:space="preserve"> Alan Buckle, “Low pay: the nations challenge”, 2014:</w:t>
      </w:r>
    </w:p>
    <w:p w:rsidR="00FC4D13" w:rsidRDefault="00FC4D13">
      <w:pPr>
        <w:pStyle w:val="FootnoteText"/>
      </w:pPr>
      <w:r w:rsidRPr="00D83E9A">
        <w:t>http://www.yourbritain.org.uk/uploads/editor/files/Alan_Buckle_review_FINAL_20May20142.pdf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13" w:rsidRDefault="00FC4D13">
    <w:pPr>
      <w:spacing w:line="240" w:lineRule="exact"/>
    </w:pPr>
    <w:r>
      <w:rPr>
        <w:noProof/>
        <w:snapToGrid/>
        <w:sz w:val="20"/>
        <w:lang w:eastAsia="en-GB"/>
      </w:rPr>
      <w:drawing>
        <wp:anchor distT="0" distB="0" distL="114300" distR="114300" simplePos="0" relativeHeight="251658240"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4077D1">
      <w:rPr>
        <w:noProof/>
        <w:snapToGrid/>
      </w:rPr>
      <w:pict>
        <v:rect id="_x0000_s1041" style="position:absolute;margin-left:-486.7pt;margin-top:67.9pt;width:468pt;height:660.3pt;z-index:-251657216;mso-position-horizontal-relative:margin;mso-position-vertical-relative:margin" o:allowincell="f" filled="f" stroked="f" strokeweight="0">
          <v:textbox style="mso-next-textbox:#_x0000_s1041" inset="0,0,0,0">
            <w:txbxContent>
              <w:p w:rsidR="00FC4D13" w:rsidRDefault="00FC4D13">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13" w:rsidRDefault="00FC4D13">
    <w:pPr>
      <w:pStyle w:val="Header"/>
      <w:tabs>
        <w:tab w:val="clear" w:pos="4320"/>
        <w:tab w:val="clear" w:pos="8640"/>
        <w:tab w:val="right" w:pos="7848"/>
      </w:tabs>
      <w:ind w:left="-2250"/>
    </w:pPr>
    <w:r>
      <w:rPr>
        <w:noProof/>
        <w:snapToGrid/>
        <w:sz w:val="20"/>
        <w:lang w:eastAsia="en-GB"/>
      </w:rPr>
      <w:drawing>
        <wp:anchor distT="0" distB="0" distL="114300" distR="114300" simplePos="0" relativeHeight="251656192" behindDoc="1" locked="1" layoutInCell="1" allowOverlap="1">
          <wp:simplePos x="0" y="0"/>
          <wp:positionH relativeFrom="column">
            <wp:posOffset>-1551940</wp:posOffset>
          </wp:positionH>
          <wp:positionV relativeFrom="paragraph">
            <wp:posOffset>72390</wp:posOffset>
          </wp:positionV>
          <wp:extent cx="6697980" cy="9829800"/>
          <wp:effectExtent l="19050" t="0" r="7620" b="0"/>
          <wp:wrapNone/>
          <wp:docPr id="1" name="shpFront_Cov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97980" cy="9829800"/>
                  </a:xfrm>
                  <a:prstGeom prst="rect">
                    <a:avLst/>
                  </a:prstGeom>
                </pic:spPr>
              </pic:pic>
            </a:graphicData>
          </a:graphic>
        </wp:anchor>
      </w:drawing>
    </w:r>
    <w:r>
      <w:rPr>
        <w:noProof/>
        <w:snapToGrid/>
        <w:sz w:val="20"/>
        <w:lang w:eastAsia="en-GB"/>
      </w:rPr>
      <w:drawing>
        <wp:anchor distT="0" distB="0" distL="114300" distR="114300" simplePos="0" relativeHeight="251657216"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2" name="shpFront_Cover" descr="T05 front cov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 blank"/>
                  <pic:cNvPicPr>
                    <a:picLocks noChangeAspect="1" noChangeArrowheads="1"/>
                  </pic:cNvPicPr>
                </pic:nvPicPr>
                <pic:blipFill>
                  <a:blip r:embed="rId2"/>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4190B"/>
    <w:multiLevelType w:val="hybridMultilevel"/>
    <w:tmpl w:val="40B4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C414AE"/>
    <w:multiLevelType w:val="hybridMultilevel"/>
    <w:tmpl w:val="F4C0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EA2A59"/>
    <w:multiLevelType w:val="hybridMultilevel"/>
    <w:tmpl w:val="8646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4">
    <w:nsid w:val="15FE6C3F"/>
    <w:multiLevelType w:val="hybridMultilevel"/>
    <w:tmpl w:val="D772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2E01F2"/>
    <w:multiLevelType w:val="hybridMultilevel"/>
    <w:tmpl w:val="B95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411A7"/>
    <w:multiLevelType w:val="hybridMultilevel"/>
    <w:tmpl w:val="EE4A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812CBF"/>
    <w:multiLevelType w:val="hybridMultilevel"/>
    <w:tmpl w:val="4CFC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7027F3"/>
    <w:multiLevelType w:val="multilevel"/>
    <w:tmpl w:val="86C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20">
    <w:nsid w:val="34FA197E"/>
    <w:multiLevelType w:val="hybridMultilevel"/>
    <w:tmpl w:val="45C28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370C6A"/>
    <w:multiLevelType w:val="hybridMultilevel"/>
    <w:tmpl w:val="C3D2EA2C"/>
    <w:lvl w:ilvl="0" w:tplc="08090001">
      <w:start w:val="1"/>
      <w:numFmt w:val="bullet"/>
      <w:lvlText w:val=""/>
      <w:lvlJc w:val="left"/>
      <w:pPr>
        <w:ind w:left="720" w:hanging="360"/>
      </w:pPr>
      <w:rPr>
        <w:rFonts w:ascii="Symbol" w:hAnsi="Symbol" w:hint="default"/>
      </w:rPr>
    </w:lvl>
    <w:lvl w:ilvl="1" w:tplc="19623DC8">
      <w:numFmt w:val="bullet"/>
      <w:lvlText w:val="•"/>
      <w:lvlJc w:val="left"/>
      <w:pPr>
        <w:ind w:left="1440" w:hanging="360"/>
      </w:pPr>
      <w:rPr>
        <w:rFonts w:ascii="Calibri" w:eastAsiaTheme="minorHAns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EB6D91"/>
    <w:multiLevelType w:val="hybridMultilevel"/>
    <w:tmpl w:val="78DACAE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42B56EDC"/>
    <w:multiLevelType w:val="hybridMultilevel"/>
    <w:tmpl w:val="3BD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75DC5"/>
    <w:multiLevelType w:val="hybridMultilevel"/>
    <w:tmpl w:val="0E3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4CF5E1A"/>
    <w:multiLevelType w:val="hybridMultilevel"/>
    <w:tmpl w:val="6698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7D41FBE"/>
    <w:multiLevelType w:val="hybridMultilevel"/>
    <w:tmpl w:val="D6B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F3715C"/>
    <w:multiLevelType w:val="hybridMultilevel"/>
    <w:tmpl w:val="285A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820B0E"/>
    <w:multiLevelType w:val="hybridMultilevel"/>
    <w:tmpl w:val="DD3E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30"/>
  </w:num>
  <w:num w:numId="15">
    <w:abstractNumId w:val="14"/>
  </w:num>
  <w:num w:numId="16">
    <w:abstractNumId w:val="29"/>
  </w:num>
  <w:num w:numId="17">
    <w:abstractNumId w:val="12"/>
  </w:num>
  <w:num w:numId="18">
    <w:abstractNumId w:val="16"/>
  </w:num>
  <w:num w:numId="19">
    <w:abstractNumId w:val="25"/>
  </w:num>
  <w:num w:numId="20">
    <w:abstractNumId w:val="18"/>
  </w:num>
  <w:num w:numId="21">
    <w:abstractNumId w:val="10"/>
  </w:num>
  <w:num w:numId="22">
    <w:abstractNumId w:val="15"/>
  </w:num>
  <w:num w:numId="23">
    <w:abstractNumId w:val="11"/>
  </w:num>
  <w:num w:numId="24">
    <w:abstractNumId w:val="17"/>
  </w:num>
  <w:num w:numId="25">
    <w:abstractNumId w:val="2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D17A8E"/>
    <w:rsid w:val="000068CA"/>
    <w:rsid w:val="00007331"/>
    <w:rsid w:val="000257FD"/>
    <w:rsid w:val="000265E3"/>
    <w:rsid w:val="00032B87"/>
    <w:rsid w:val="000330E8"/>
    <w:rsid w:val="0005001B"/>
    <w:rsid w:val="000506EC"/>
    <w:rsid w:val="00052298"/>
    <w:rsid w:val="00054302"/>
    <w:rsid w:val="00054988"/>
    <w:rsid w:val="000550AF"/>
    <w:rsid w:val="000565EB"/>
    <w:rsid w:val="00067635"/>
    <w:rsid w:val="00071E32"/>
    <w:rsid w:val="0007208D"/>
    <w:rsid w:val="000723B2"/>
    <w:rsid w:val="0007351E"/>
    <w:rsid w:val="000844DA"/>
    <w:rsid w:val="00087B93"/>
    <w:rsid w:val="00093ECE"/>
    <w:rsid w:val="000960B3"/>
    <w:rsid w:val="000973C0"/>
    <w:rsid w:val="000A0B3D"/>
    <w:rsid w:val="000A1534"/>
    <w:rsid w:val="000A65E3"/>
    <w:rsid w:val="000B2FF0"/>
    <w:rsid w:val="000C1569"/>
    <w:rsid w:val="000C577A"/>
    <w:rsid w:val="000D05A0"/>
    <w:rsid w:val="000D0FCD"/>
    <w:rsid w:val="000D335A"/>
    <w:rsid w:val="000E2FC2"/>
    <w:rsid w:val="000E3466"/>
    <w:rsid w:val="00103155"/>
    <w:rsid w:val="00103160"/>
    <w:rsid w:val="00106898"/>
    <w:rsid w:val="0011165B"/>
    <w:rsid w:val="0011179F"/>
    <w:rsid w:val="00113420"/>
    <w:rsid w:val="00113AB8"/>
    <w:rsid w:val="00116ED7"/>
    <w:rsid w:val="001200AB"/>
    <w:rsid w:val="001352B8"/>
    <w:rsid w:val="00143FC9"/>
    <w:rsid w:val="0014787E"/>
    <w:rsid w:val="00155EF4"/>
    <w:rsid w:val="0015627C"/>
    <w:rsid w:val="001603B9"/>
    <w:rsid w:val="00160C3C"/>
    <w:rsid w:val="001626BD"/>
    <w:rsid w:val="00162A4F"/>
    <w:rsid w:val="00165330"/>
    <w:rsid w:val="001659EC"/>
    <w:rsid w:val="00166850"/>
    <w:rsid w:val="00176B06"/>
    <w:rsid w:val="00177F2D"/>
    <w:rsid w:val="00185A7A"/>
    <w:rsid w:val="001864D6"/>
    <w:rsid w:val="00187091"/>
    <w:rsid w:val="00190A00"/>
    <w:rsid w:val="001A2642"/>
    <w:rsid w:val="001A3561"/>
    <w:rsid w:val="001B50E0"/>
    <w:rsid w:val="001B778F"/>
    <w:rsid w:val="001C039E"/>
    <w:rsid w:val="001C15F2"/>
    <w:rsid w:val="001C4AF9"/>
    <w:rsid w:val="001C6BC9"/>
    <w:rsid w:val="001D0A02"/>
    <w:rsid w:val="001D61D2"/>
    <w:rsid w:val="001E2E3F"/>
    <w:rsid w:val="001E6F39"/>
    <w:rsid w:val="001F01F6"/>
    <w:rsid w:val="001F02D3"/>
    <w:rsid w:val="001F31DB"/>
    <w:rsid w:val="00200D53"/>
    <w:rsid w:val="00216682"/>
    <w:rsid w:val="00216E86"/>
    <w:rsid w:val="00223171"/>
    <w:rsid w:val="00225D9C"/>
    <w:rsid w:val="00226E1B"/>
    <w:rsid w:val="00227B4B"/>
    <w:rsid w:val="00234454"/>
    <w:rsid w:val="00242D12"/>
    <w:rsid w:val="002443DD"/>
    <w:rsid w:val="002548E1"/>
    <w:rsid w:val="00261D85"/>
    <w:rsid w:val="00265F50"/>
    <w:rsid w:val="00273364"/>
    <w:rsid w:val="00273461"/>
    <w:rsid w:val="0027378E"/>
    <w:rsid w:val="0027794F"/>
    <w:rsid w:val="002916E8"/>
    <w:rsid w:val="002A2483"/>
    <w:rsid w:val="002B0AD5"/>
    <w:rsid w:val="002B243B"/>
    <w:rsid w:val="002B25E5"/>
    <w:rsid w:val="002B6101"/>
    <w:rsid w:val="002C2E7C"/>
    <w:rsid w:val="002C33DB"/>
    <w:rsid w:val="002C43F9"/>
    <w:rsid w:val="002C6A6F"/>
    <w:rsid w:val="002D712D"/>
    <w:rsid w:val="002E39C5"/>
    <w:rsid w:val="002E57D4"/>
    <w:rsid w:val="002F21E5"/>
    <w:rsid w:val="003002DF"/>
    <w:rsid w:val="003019D8"/>
    <w:rsid w:val="00302DF1"/>
    <w:rsid w:val="00314A07"/>
    <w:rsid w:val="00314AED"/>
    <w:rsid w:val="0032266A"/>
    <w:rsid w:val="00322AD3"/>
    <w:rsid w:val="0035368A"/>
    <w:rsid w:val="0035466D"/>
    <w:rsid w:val="003578CE"/>
    <w:rsid w:val="003712C5"/>
    <w:rsid w:val="003732B2"/>
    <w:rsid w:val="00375EF2"/>
    <w:rsid w:val="00381FED"/>
    <w:rsid w:val="003869C1"/>
    <w:rsid w:val="00387041"/>
    <w:rsid w:val="003874DE"/>
    <w:rsid w:val="00387670"/>
    <w:rsid w:val="003B4759"/>
    <w:rsid w:val="003B76C4"/>
    <w:rsid w:val="003C1399"/>
    <w:rsid w:val="003D0281"/>
    <w:rsid w:val="003D04BE"/>
    <w:rsid w:val="003D196C"/>
    <w:rsid w:val="003D45FD"/>
    <w:rsid w:val="003D791C"/>
    <w:rsid w:val="003E3CF1"/>
    <w:rsid w:val="003E46B8"/>
    <w:rsid w:val="003F2580"/>
    <w:rsid w:val="003F6A05"/>
    <w:rsid w:val="004004EF"/>
    <w:rsid w:val="00402A82"/>
    <w:rsid w:val="00403C8B"/>
    <w:rsid w:val="00405AAA"/>
    <w:rsid w:val="004070B4"/>
    <w:rsid w:val="004077D1"/>
    <w:rsid w:val="00410BF5"/>
    <w:rsid w:val="00416000"/>
    <w:rsid w:val="00422130"/>
    <w:rsid w:val="00422E2F"/>
    <w:rsid w:val="00425575"/>
    <w:rsid w:val="00427A21"/>
    <w:rsid w:val="00433FE5"/>
    <w:rsid w:val="0044145F"/>
    <w:rsid w:val="00441B2B"/>
    <w:rsid w:val="00441B5C"/>
    <w:rsid w:val="00442308"/>
    <w:rsid w:val="00443976"/>
    <w:rsid w:val="00462887"/>
    <w:rsid w:val="0046289D"/>
    <w:rsid w:val="004648C7"/>
    <w:rsid w:val="0046572A"/>
    <w:rsid w:val="004667F0"/>
    <w:rsid w:val="004670E8"/>
    <w:rsid w:val="0047071F"/>
    <w:rsid w:val="00472BD1"/>
    <w:rsid w:val="004755E9"/>
    <w:rsid w:val="0048264B"/>
    <w:rsid w:val="004A32A9"/>
    <w:rsid w:val="004B0139"/>
    <w:rsid w:val="004C0F59"/>
    <w:rsid w:val="004C1065"/>
    <w:rsid w:val="004C52AB"/>
    <w:rsid w:val="004D351B"/>
    <w:rsid w:val="004E38FA"/>
    <w:rsid w:val="004E470A"/>
    <w:rsid w:val="005019EC"/>
    <w:rsid w:val="00537718"/>
    <w:rsid w:val="00544AD3"/>
    <w:rsid w:val="00545942"/>
    <w:rsid w:val="00553730"/>
    <w:rsid w:val="00554371"/>
    <w:rsid w:val="00560D37"/>
    <w:rsid w:val="00565443"/>
    <w:rsid w:val="005664D9"/>
    <w:rsid w:val="00566A36"/>
    <w:rsid w:val="005673E8"/>
    <w:rsid w:val="005721F4"/>
    <w:rsid w:val="005750BC"/>
    <w:rsid w:val="00580EDF"/>
    <w:rsid w:val="00587F36"/>
    <w:rsid w:val="00596792"/>
    <w:rsid w:val="005969B3"/>
    <w:rsid w:val="005A0F53"/>
    <w:rsid w:val="005A2B6B"/>
    <w:rsid w:val="005A59CB"/>
    <w:rsid w:val="005A647B"/>
    <w:rsid w:val="005B0E1B"/>
    <w:rsid w:val="005B39FD"/>
    <w:rsid w:val="005B4DA6"/>
    <w:rsid w:val="005B4F6E"/>
    <w:rsid w:val="005C490C"/>
    <w:rsid w:val="005C679D"/>
    <w:rsid w:val="005D4657"/>
    <w:rsid w:val="005D78B3"/>
    <w:rsid w:val="005E05EC"/>
    <w:rsid w:val="005E276F"/>
    <w:rsid w:val="005E2B9D"/>
    <w:rsid w:val="005E3A65"/>
    <w:rsid w:val="005F1043"/>
    <w:rsid w:val="005F3310"/>
    <w:rsid w:val="005F4E4D"/>
    <w:rsid w:val="00613A7C"/>
    <w:rsid w:val="00616E8D"/>
    <w:rsid w:val="00623487"/>
    <w:rsid w:val="00636070"/>
    <w:rsid w:val="006423C2"/>
    <w:rsid w:val="00643B2B"/>
    <w:rsid w:val="00645AD4"/>
    <w:rsid w:val="00652168"/>
    <w:rsid w:val="0065428A"/>
    <w:rsid w:val="006753C4"/>
    <w:rsid w:val="00677EBE"/>
    <w:rsid w:val="00687377"/>
    <w:rsid w:val="0069006C"/>
    <w:rsid w:val="00693D88"/>
    <w:rsid w:val="00693F9E"/>
    <w:rsid w:val="00694F6D"/>
    <w:rsid w:val="006966F1"/>
    <w:rsid w:val="006A3619"/>
    <w:rsid w:val="006A37D6"/>
    <w:rsid w:val="006A40DB"/>
    <w:rsid w:val="006A7480"/>
    <w:rsid w:val="006B0498"/>
    <w:rsid w:val="006B1169"/>
    <w:rsid w:val="006B4574"/>
    <w:rsid w:val="006B6995"/>
    <w:rsid w:val="006C6E9C"/>
    <w:rsid w:val="006E05F1"/>
    <w:rsid w:val="006E5BBD"/>
    <w:rsid w:val="006F4724"/>
    <w:rsid w:val="006F68B7"/>
    <w:rsid w:val="00703857"/>
    <w:rsid w:val="007041A3"/>
    <w:rsid w:val="00712483"/>
    <w:rsid w:val="007136B8"/>
    <w:rsid w:val="00715BEF"/>
    <w:rsid w:val="00716FE9"/>
    <w:rsid w:val="00717D77"/>
    <w:rsid w:val="00727EB9"/>
    <w:rsid w:val="007365EC"/>
    <w:rsid w:val="00741891"/>
    <w:rsid w:val="00747864"/>
    <w:rsid w:val="007503A4"/>
    <w:rsid w:val="007512AE"/>
    <w:rsid w:val="0075140B"/>
    <w:rsid w:val="00752C1D"/>
    <w:rsid w:val="00754B57"/>
    <w:rsid w:val="007604E0"/>
    <w:rsid w:val="007741E0"/>
    <w:rsid w:val="00782D47"/>
    <w:rsid w:val="00796177"/>
    <w:rsid w:val="00797B6F"/>
    <w:rsid w:val="007A0191"/>
    <w:rsid w:val="007A6DC2"/>
    <w:rsid w:val="007B17B5"/>
    <w:rsid w:val="007B2ACE"/>
    <w:rsid w:val="007C1A4A"/>
    <w:rsid w:val="007C536D"/>
    <w:rsid w:val="007D27FE"/>
    <w:rsid w:val="007E0850"/>
    <w:rsid w:val="007E38CE"/>
    <w:rsid w:val="007E405E"/>
    <w:rsid w:val="007E41C3"/>
    <w:rsid w:val="007E5D5D"/>
    <w:rsid w:val="007F266F"/>
    <w:rsid w:val="007F4A94"/>
    <w:rsid w:val="007F4B1F"/>
    <w:rsid w:val="007F5C16"/>
    <w:rsid w:val="00806246"/>
    <w:rsid w:val="0081076E"/>
    <w:rsid w:val="00811723"/>
    <w:rsid w:val="008128D1"/>
    <w:rsid w:val="00813E75"/>
    <w:rsid w:val="00821B5A"/>
    <w:rsid w:val="00821EA1"/>
    <w:rsid w:val="008232F0"/>
    <w:rsid w:val="00823570"/>
    <w:rsid w:val="008276F4"/>
    <w:rsid w:val="00830E1E"/>
    <w:rsid w:val="00832DA4"/>
    <w:rsid w:val="008332B2"/>
    <w:rsid w:val="00835C09"/>
    <w:rsid w:val="00836636"/>
    <w:rsid w:val="00850965"/>
    <w:rsid w:val="008543F6"/>
    <w:rsid w:val="008556FF"/>
    <w:rsid w:val="008733A9"/>
    <w:rsid w:val="00877FD0"/>
    <w:rsid w:val="00882789"/>
    <w:rsid w:val="00891197"/>
    <w:rsid w:val="00895530"/>
    <w:rsid w:val="008A0928"/>
    <w:rsid w:val="008A51DE"/>
    <w:rsid w:val="008A7B99"/>
    <w:rsid w:val="008A7E3F"/>
    <w:rsid w:val="008C6977"/>
    <w:rsid w:val="008D34B1"/>
    <w:rsid w:val="008E01AD"/>
    <w:rsid w:val="008F54B0"/>
    <w:rsid w:val="008F5A7D"/>
    <w:rsid w:val="008F6067"/>
    <w:rsid w:val="00900CAA"/>
    <w:rsid w:val="00900FD2"/>
    <w:rsid w:val="00901BC4"/>
    <w:rsid w:val="00901C3E"/>
    <w:rsid w:val="00903B46"/>
    <w:rsid w:val="00903E25"/>
    <w:rsid w:val="00907A73"/>
    <w:rsid w:val="00921BAF"/>
    <w:rsid w:val="00927423"/>
    <w:rsid w:val="00927831"/>
    <w:rsid w:val="0093010E"/>
    <w:rsid w:val="0093071C"/>
    <w:rsid w:val="00931EFC"/>
    <w:rsid w:val="009371B4"/>
    <w:rsid w:val="00940D44"/>
    <w:rsid w:val="0094169C"/>
    <w:rsid w:val="0094722D"/>
    <w:rsid w:val="00951873"/>
    <w:rsid w:val="009546A9"/>
    <w:rsid w:val="00956F1C"/>
    <w:rsid w:val="009630EC"/>
    <w:rsid w:val="00963446"/>
    <w:rsid w:val="00964644"/>
    <w:rsid w:val="00967399"/>
    <w:rsid w:val="009675FB"/>
    <w:rsid w:val="00973BBB"/>
    <w:rsid w:val="0097483E"/>
    <w:rsid w:val="00975233"/>
    <w:rsid w:val="00976817"/>
    <w:rsid w:val="00976E9C"/>
    <w:rsid w:val="009816C6"/>
    <w:rsid w:val="00994A35"/>
    <w:rsid w:val="00997320"/>
    <w:rsid w:val="009A1411"/>
    <w:rsid w:val="009A2398"/>
    <w:rsid w:val="009C51F0"/>
    <w:rsid w:val="009C5480"/>
    <w:rsid w:val="009D0FEB"/>
    <w:rsid w:val="009D137C"/>
    <w:rsid w:val="009D2F9D"/>
    <w:rsid w:val="009D57B3"/>
    <w:rsid w:val="009F05C6"/>
    <w:rsid w:val="009F25FC"/>
    <w:rsid w:val="00A02E8B"/>
    <w:rsid w:val="00A054E7"/>
    <w:rsid w:val="00A07B77"/>
    <w:rsid w:val="00A10DBD"/>
    <w:rsid w:val="00A1347C"/>
    <w:rsid w:val="00A134CA"/>
    <w:rsid w:val="00A1469D"/>
    <w:rsid w:val="00A17B2D"/>
    <w:rsid w:val="00A233C0"/>
    <w:rsid w:val="00A25A79"/>
    <w:rsid w:val="00A34251"/>
    <w:rsid w:val="00A35826"/>
    <w:rsid w:val="00A36791"/>
    <w:rsid w:val="00A4305B"/>
    <w:rsid w:val="00A524CB"/>
    <w:rsid w:val="00A53369"/>
    <w:rsid w:val="00A64879"/>
    <w:rsid w:val="00A65235"/>
    <w:rsid w:val="00A777E1"/>
    <w:rsid w:val="00A80420"/>
    <w:rsid w:val="00A81AF6"/>
    <w:rsid w:val="00A82A2B"/>
    <w:rsid w:val="00A82B02"/>
    <w:rsid w:val="00A82BEF"/>
    <w:rsid w:val="00A84FA6"/>
    <w:rsid w:val="00A86132"/>
    <w:rsid w:val="00A86BFA"/>
    <w:rsid w:val="00A91EA9"/>
    <w:rsid w:val="00A93F23"/>
    <w:rsid w:val="00AA590A"/>
    <w:rsid w:val="00AB13B6"/>
    <w:rsid w:val="00AB273C"/>
    <w:rsid w:val="00AB7C3D"/>
    <w:rsid w:val="00AC3D79"/>
    <w:rsid w:val="00AC5857"/>
    <w:rsid w:val="00AD35DC"/>
    <w:rsid w:val="00AE1CEB"/>
    <w:rsid w:val="00AF4DEF"/>
    <w:rsid w:val="00AF6936"/>
    <w:rsid w:val="00B114FF"/>
    <w:rsid w:val="00B16C8D"/>
    <w:rsid w:val="00B30D5B"/>
    <w:rsid w:val="00B312DC"/>
    <w:rsid w:val="00B33F3C"/>
    <w:rsid w:val="00B35DF6"/>
    <w:rsid w:val="00B40511"/>
    <w:rsid w:val="00B423DD"/>
    <w:rsid w:val="00B4565A"/>
    <w:rsid w:val="00B47307"/>
    <w:rsid w:val="00B573B2"/>
    <w:rsid w:val="00B60EFF"/>
    <w:rsid w:val="00B6384B"/>
    <w:rsid w:val="00B646C6"/>
    <w:rsid w:val="00B67D4D"/>
    <w:rsid w:val="00B739A3"/>
    <w:rsid w:val="00B84C96"/>
    <w:rsid w:val="00B86E34"/>
    <w:rsid w:val="00B908BD"/>
    <w:rsid w:val="00B94A11"/>
    <w:rsid w:val="00B97B0A"/>
    <w:rsid w:val="00BA21AA"/>
    <w:rsid w:val="00BB0F30"/>
    <w:rsid w:val="00BB1C12"/>
    <w:rsid w:val="00BB6E6E"/>
    <w:rsid w:val="00BC2A11"/>
    <w:rsid w:val="00BC3E14"/>
    <w:rsid w:val="00BC4003"/>
    <w:rsid w:val="00BC4DF6"/>
    <w:rsid w:val="00BC62C9"/>
    <w:rsid w:val="00BD09D7"/>
    <w:rsid w:val="00BD21C0"/>
    <w:rsid w:val="00BD7C96"/>
    <w:rsid w:val="00BE2BAE"/>
    <w:rsid w:val="00BE2E50"/>
    <w:rsid w:val="00BE75DC"/>
    <w:rsid w:val="00BF1C62"/>
    <w:rsid w:val="00BF3A8E"/>
    <w:rsid w:val="00BF3EB7"/>
    <w:rsid w:val="00BF58AC"/>
    <w:rsid w:val="00C03BA1"/>
    <w:rsid w:val="00C070AC"/>
    <w:rsid w:val="00C10A86"/>
    <w:rsid w:val="00C15C13"/>
    <w:rsid w:val="00C23B98"/>
    <w:rsid w:val="00C2732B"/>
    <w:rsid w:val="00C37982"/>
    <w:rsid w:val="00C445FA"/>
    <w:rsid w:val="00C45675"/>
    <w:rsid w:val="00C536F9"/>
    <w:rsid w:val="00C70ADB"/>
    <w:rsid w:val="00C74B77"/>
    <w:rsid w:val="00C751D5"/>
    <w:rsid w:val="00C95F99"/>
    <w:rsid w:val="00CA454D"/>
    <w:rsid w:val="00CA49F1"/>
    <w:rsid w:val="00CB3868"/>
    <w:rsid w:val="00CB461E"/>
    <w:rsid w:val="00CC5D18"/>
    <w:rsid w:val="00CD12BD"/>
    <w:rsid w:val="00CD1B99"/>
    <w:rsid w:val="00CD4D21"/>
    <w:rsid w:val="00CE3D5F"/>
    <w:rsid w:val="00CF07B5"/>
    <w:rsid w:val="00CF4032"/>
    <w:rsid w:val="00CF5023"/>
    <w:rsid w:val="00D032C0"/>
    <w:rsid w:val="00D0460A"/>
    <w:rsid w:val="00D05218"/>
    <w:rsid w:val="00D110DB"/>
    <w:rsid w:val="00D1241D"/>
    <w:rsid w:val="00D17A8E"/>
    <w:rsid w:val="00D2118F"/>
    <w:rsid w:val="00D25069"/>
    <w:rsid w:val="00D27221"/>
    <w:rsid w:val="00D34298"/>
    <w:rsid w:val="00D37C84"/>
    <w:rsid w:val="00D46FB9"/>
    <w:rsid w:val="00D528E6"/>
    <w:rsid w:val="00D60072"/>
    <w:rsid w:val="00D64146"/>
    <w:rsid w:val="00D650A4"/>
    <w:rsid w:val="00D7105F"/>
    <w:rsid w:val="00D83E9A"/>
    <w:rsid w:val="00D94199"/>
    <w:rsid w:val="00D95A43"/>
    <w:rsid w:val="00DA03FF"/>
    <w:rsid w:val="00DA2096"/>
    <w:rsid w:val="00DA2C5A"/>
    <w:rsid w:val="00DA7EB9"/>
    <w:rsid w:val="00DB45CF"/>
    <w:rsid w:val="00DC25A6"/>
    <w:rsid w:val="00DC272D"/>
    <w:rsid w:val="00DC4E88"/>
    <w:rsid w:val="00DC6F55"/>
    <w:rsid w:val="00DC7A74"/>
    <w:rsid w:val="00DD3A50"/>
    <w:rsid w:val="00DE154C"/>
    <w:rsid w:val="00DE2BB7"/>
    <w:rsid w:val="00DE3149"/>
    <w:rsid w:val="00DE43C1"/>
    <w:rsid w:val="00DF4C23"/>
    <w:rsid w:val="00DF712A"/>
    <w:rsid w:val="00E11694"/>
    <w:rsid w:val="00E16B1A"/>
    <w:rsid w:val="00E21D7A"/>
    <w:rsid w:val="00E23E2C"/>
    <w:rsid w:val="00E3221D"/>
    <w:rsid w:val="00E3613C"/>
    <w:rsid w:val="00E4644C"/>
    <w:rsid w:val="00E517C3"/>
    <w:rsid w:val="00E60EC0"/>
    <w:rsid w:val="00E65B5D"/>
    <w:rsid w:val="00E67008"/>
    <w:rsid w:val="00E71EAD"/>
    <w:rsid w:val="00E729F9"/>
    <w:rsid w:val="00E82E8A"/>
    <w:rsid w:val="00E86F94"/>
    <w:rsid w:val="00E87812"/>
    <w:rsid w:val="00E953D1"/>
    <w:rsid w:val="00EA1A17"/>
    <w:rsid w:val="00EA47A5"/>
    <w:rsid w:val="00EB7B3E"/>
    <w:rsid w:val="00EC0B00"/>
    <w:rsid w:val="00ED04F6"/>
    <w:rsid w:val="00ED242E"/>
    <w:rsid w:val="00ED2D5D"/>
    <w:rsid w:val="00EE0AEF"/>
    <w:rsid w:val="00EE1A7D"/>
    <w:rsid w:val="00EE261E"/>
    <w:rsid w:val="00EF77C0"/>
    <w:rsid w:val="00F02E9C"/>
    <w:rsid w:val="00F064A7"/>
    <w:rsid w:val="00F13E99"/>
    <w:rsid w:val="00F20CB0"/>
    <w:rsid w:val="00F23508"/>
    <w:rsid w:val="00F26ACA"/>
    <w:rsid w:val="00F31916"/>
    <w:rsid w:val="00F328A7"/>
    <w:rsid w:val="00F3794D"/>
    <w:rsid w:val="00F429AC"/>
    <w:rsid w:val="00F447ED"/>
    <w:rsid w:val="00F51665"/>
    <w:rsid w:val="00F5600A"/>
    <w:rsid w:val="00F5724A"/>
    <w:rsid w:val="00F6277A"/>
    <w:rsid w:val="00F66633"/>
    <w:rsid w:val="00F674A1"/>
    <w:rsid w:val="00F67C90"/>
    <w:rsid w:val="00F72A56"/>
    <w:rsid w:val="00F732D3"/>
    <w:rsid w:val="00F73A4F"/>
    <w:rsid w:val="00F7735D"/>
    <w:rsid w:val="00F7737D"/>
    <w:rsid w:val="00F85F07"/>
    <w:rsid w:val="00FA0438"/>
    <w:rsid w:val="00FA1417"/>
    <w:rsid w:val="00FA3539"/>
    <w:rsid w:val="00FB797E"/>
    <w:rsid w:val="00FC4D13"/>
    <w:rsid w:val="00FC4D15"/>
    <w:rsid w:val="00FC664D"/>
    <w:rsid w:val="00FC741F"/>
    <w:rsid w:val="00FD3855"/>
    <w:rsid w:val="00FD5527"/>
    <w:rsid w:val="00FD5A8A"/>
    <w:rsid w:val="00FF00EE"/>
    <w:rsid w:val="00FF4F99"/>
    <w:rsid w:val="00FF7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80"/>
    <w:pPr>
      <w:widowControl w:val="0"/>
    </w:pPr>
    <w:rPr>
      <w:snapToGrid w:val="0"/>
      <w:sz w:val="24"/>
      <w:lang w:eastAsia="en-US"/>
    </w:rPr>
  </w:style>
  <w:style w:type="paragraph" w:styleId="Heading1">
    <w:name w:val="heading 1"/>
    <w:basedOn w:val="Normal"/>
    <w:next w:val="Normal"/>
    <w:qFormat/>
    <w:rsid w:val="009C54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54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5480"/>
    <w:pPr>
      <w:keepNext/>
      <w:spacing w:before="240" w:after="60"/>
      <w:outlineLvl w:val="2"/>
    </w:pPr>
    <w:rPr>
      <w:rFonts w:ascii="Arial" w:hAnsi="Arial" w:cs="Arial"/>
      <w:b/>
      <w:bCs/>
      <w:sz w:val="26"/>
      <w:szCs w:val="26"/>
    </w:rPr>
  </w:style>
  <w:style w:type="paragraph" w:styleId="Heading4">
    <w:name w:val="heading 4"/>
    <w:basedOn w:val="Normal"/>
    <w:next w:val="Normal"/>
    <w:qFormat/>
    <w:rsid w:val="009C5480"/>
    <w:pPr>
      <w:keepNext/>
      <w:spacing w:before="240" w:after="60"/>
      <w:outlineLvl w:val="3"/>
    </w:pPr>
    <w:rPr>
      <w:b/>
      <w:bCs/>
      <w:sz w:val="28"/>
      <w:szCs w:val="28"/>
    </w:rPr>
  </w:style>
  <w:style w:type="paragraph" w:styleId="Heading5">
    <w:name w:val="heading 5"/>
    <w:basedOn w:val="Normal"/>
    <w:next w:val="Normal"/>
    <w:link w:val="Heading5Char"/>
    <w:uiPriority w:val="9"/>
    <w:qFormat/>
    <w:rsid w:val="009C5480"/>
    <w:pPr>
      <w:spacing w:before="240" w:after="60"/>
      <w:outlineLvl w:val="4"/>
    </w:pPr>
    <w:rPr>
      <w:b/>
      <w:bCs/>
      <w:i/>
      <w:iCs/>
      <w:sz w:val="26"/>
      <w:szCs w:val="26"/>
    </w:rPr>
  </w:style>
  <w:style w:type="paragraph" w:styleId="Heading6">
    <w:name w:val="heading 6"/>
    <w:basedOn w:val="Normal"/>
    <w:next w:val="Normal"/>
    <w:qFormat/>
    <w:rsid w:val="009C5480"/>
    <w:pPr>
      <w:spacing w:before="240" w:after="60"/>
      <w:outlineLvl w:val="5"/>
    </w:pPr>
    <w:rPr>
      <w:b/>
      <w:bCs/>
      <w:sz w:val="22"/>
      <w:szCs w:val="22"/>
    </w:rPr>
  </w:style>
  <w:style w:type="paragraph" w:styleId="Heading7">
    <w:name w:val="heading 7"/>
    <w:basedOn w:val="Normal"/>
    <w:next w:val="Normal"/>
    <w:qFormat/>
    <w:rsid w:val="009C5480"/>
    <w:pPr>
      <w:spacing w:before="240" w:after="60"/>
      <w:outlineLvl w:val="6"/>
    </w:pPr>
    <w:rPr>
      <w:szCs w:val="24"/>
    </w:rPr>
  </w:style>
  <w:style w:type="paragraph" w:styleId="Heading8">
    <w:name w:val="heading 8"/>
    <w:basedOn w:val="Normal"/>
    <w:next w:val="Normal"/>
    <w:qFormat/>
    <w:rsid w:val="009C5480"/>
    <w:pPr>
      <w:spacing w:before="240" w:after="60"/>
      <w:outlineLvl w:val="7"/>
    </w:pPr>
    <w:rPr>
      <w:i/>
      <w:iCs/>
      <w:szCs w:val="24"/>
    </w:rPr>
  </w:style>
  <w:style w:type="paragraph" w:styleId="Heading9">
    <w:name w:val="heading 9"/>
    <w:basedOn w:val="Normal"/>
    <w:next w:val="Normal"/>
    <w:qFormat/>
    <w:rsid w:val="009C54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C5480"/>
    <w:rPr>
      <w:dstrike w:val="0"/>
      <w:sz w:val="18"/>
      <w:vertAlign w:val="superscript"/>
    </w:rPr>
  </w:style>
  <w:style w:type="paragraph" w:customStyle="1" w:styleId="T5Bullet">
    <w:name w:val="T5Bullet"/>
    <w:basedOn w:val="Normal"/>
    <w:rsid w:val="009C5480"/>
    <w:pPr>
      <w:numPr>
        <w:numId w:val="1"/>
      </w:numPr>
      <w:tabs>
        <w:tab w:val="left" w:pos="227"/>
        <w:tab w:val="left" w:pos="454"/>
      </w:tabs>
      <w:spacing w:after="140"/>
    </w:pPr>
    <w:rPr>
      <w:rFonts w:ascii="Sabon" w:hAnsi="Sabon"/>
      <w:sz w:val="22"/>
    </w:rPr>
  </w:style>
  <w:style w:type="character" w:styleId="PageNumber">
    <w:name w:val="page number"/>
    <w:basedOn w:val="DefaultParagraphFont"/>
    <w:semiHidden/>
    <w:rsid w:val="009C5480"/>
  </w:style>
  <w:style w:type="paragraph" w:styleId="Closing">
    <w:name w:val="Closing"/>
    <w:basedOn w:val="Normal"/>
    <w:semiHidden/>
    <w:rsid w:val="009C5480"/>
  </w:style>
  <w:style w:type="paragraph" w:customStyle="1" w:styleId="T5MainTitle">
    <w:name w:val="T5MainTitle"/>
    <w:basedOn w:val="Normal"/>
    <w:rsid w:val="009C5480"/>
    <w:pPr>
      <w:spacing w:line="720" w:lineRule="exact"/>
    </w:pPr>
    <w:rPr>
      <w:rFonts w:ascii="Frutiger 55" w:hAnsi="Frutiger 55"/>
      <w:color w:val="000000"/>
      <w:sz w:val="60"/>
    </w:rPr>
  </w:style>
  <w:style w:type="paragraph" w:customStyle="1" w:styleId="T5DescriptiveSubheading">
    <w:name w:val="T5DescriptiveSubheading"/>
    <w:basedOn w:val="Normal"/>
    <w:rsid w:val="009C5480"/>
    <w:rPr>
      <w:rFonts w:ascii="Frutiger 45" w:hAnsi="Frutiger 45"/>
      <w:color w:val="000000"/>
      <w:sz w:val="28"/>
    </w:rPr>
  </w:style>
  <w:style w:type="paragraph" w:customStyle="1" w:styleId="T5TableHeader">
    <w:name w:val="T5TableHeader"/>
    <w:basedOn w:val="Normal"/>
    <w:rsid w:val="009C5480"/>
    <w:pPr>
      <w:spacing w:after="160" w:line="280" w:lineRule="exact"/>
    </w:pPr>
    <w:rPr>
      <w:rFonts w:ascii="Frutiger 55" w:hAnsi="Frutiger 55"/>
      <w:b/>
      <w:sz w:val="22"/>
    </w:rPr>
  </w:style>
  <w:style w:type="paragraph" w:styleId="BlockText">
    <w:name w:val="Block Text"/>
    <w:basedOn w:val="Normal"/>
    <w:semiHidden/>
    <w:rsid w:val="009C5480"/>
    <w:pPr>
      <w:spacing w:after="120"/>
      <w:ind w:left="1440" w:right="1440"/>
    </w:pPr>
  </w:style>
  <w:style w:type="paragraph" w:customStyle="1" w:styleId="T5TextBody">
    <w:name w:val="T5TextBody"/>
    <w:basedOn w:val="Normal"/>
    <w:rsid w:val="009C5480"/>
    <w:pPr>
      <w:widowControl/>
      <w:spacing w:after="140" w:line="280" w:lineRule="exact"/>
      <w:outlineLvl w:val="0"/>
    </w:pPr>
    <w:rPr>
      <w:rFonts w:ascii="Sabon" w:hAnsi="Sabon"/>
      <w:sz w:val="22"/>
    </w:rPr>
  </w:style>
  <w:style w:type="paragraph" w:customStyle="1" w:styleId="T5TextBodyNum">
    <w:name w:val="T5TextBodyNum"/>
    <w:basedOn w:val="T5TextBody"/>
    <w:rsid w:val="009C5480"/>
    <w:pPr>
      <w:numPr>
        <w:ilvl w:val="1"/>
        <w:numId w:val="12"/>
      </w:numPr>
      <w:tabs>
        <w:tab w:val="left" w:pos="504"/>
      </w:tabs>
      <w:ind w:left="0"/>
      <w:outlineLvl w:val="1"/>
    </w:pPr>
  </w:style>
  <w:style w:type="paragraph" w:styleId="Header">
    <w:name w:val="header"/>
    <w:basedOn w:val="Normal"/>
    <w:semiHidden/>
    <w:rsid w:val="009C5480"/>
    <w:pPr>
      <w:tabs>
        <w:tab w:val="center" w:pos="4320"/>
        <w:tab w:val="right" w:pos="8640"/>
      </w:tabs>
    </w:pPr>
  </w:style>
  <w:style w:type="paragraph" w:styleId="Footer">
    <w:name w:val="footer"/>
    <w:basedOn w:val="Normal"/>
    <w:semiHidden/>
    <w:rsid w:val="009C5480"/>
    <w:pPr>
      <w:tabs>
        <w:tab w:val="left" w:pos="2155"/>
        <w:tab w:val="right" w:pos="7825"/>
      </w:tabs>
    </w:pPr>
    <w:rPr>
      <w:rFonts w:ascii="Frutiger 45" w:hAnsi="Frutiger 45"/>
      <w:sz w:val="16"/>
    </w:rPr>
  </w:style>
  <w:style w:type="paragraph" w:styleId="BodyText">
    <w:name w:val="Body Text"/>
    <w:basedOn w:val="Normal"/>
    <w:semiHidden/>
    <w:rsid w:val="009C5480"/>
    <w:rPr>
      <w:sz w:val="48"/>
    </w:rPr>
  </w:style>
  <w:style w:type="paragraph" w:styleId="DocumentMap">
    <w:name w:val="Document Map"/>
    <w:basedOn w:val="Normal"/>
    <w:semiHidden/>
    <w:rsid w:val="009C5480"/>
    <w:pPr>
      <w:shd w:val="clear" w:color="auto" w:fill="000080"/>
    </w:pPr>
    <w:rPr>
      <w:rFonts w:ascii="Tahoma" w:hAnsi="Tahoma"/>
    </w:rPr>
  </w:style>
  <w:style w:type="paragraph" w:customStyle="1" w:styleId="T5Level2Heading">
    <w:name w:val="T5Level2Heading"/>
    <w:basedOn w:val="Normal"/>
    <w:next w:val="T5TextBody"/>
    <w:rsid w:val="009C5480"/>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9C5480"/>
    <w:pPr>
      <w:numPr>
        <w:numId w:val="0"/>
      </w:numPr>
    </w:pPr>
  </w:style>
  <w:style w:type="paragraph" w:styleId="EndnoteText">
    <w:name w:val="endnote text"/>
    <w:basedOn w:val="T5TextBody"/>
    <w:semiHidden/>
    <w:rsid w:val="009C5480"/>
    <w:rPr>
      <w:sz w:val="20"/>
    </w:rPr>
  </w:style>
  <w:style w:type="paragraph" w:styleId="FootnoteText">
    <w:name w:val="footnote text"/>
    <w:basedOn w:val="T5TextBody"/>
    <w:link w:val="FootnoteTextChar"/>
    <w:uiPriority w:val="99"/>
    <w:semiHidden/>
    <w:rsid w:val="009C5480"/>
    <w:rPr>
      <w:sz w:val="18"/>
    </w:rPr>
  </w:style>
  <w:style w:type="paragraph" w:customStyle="1" w:styleId="T5Level1HeadingNum">
    <w:name w:val="T5Level1HeadingNum"/>
    <w:basedOn w:val="Normal"/>
    <w:next w:val="T5TextBody"/>
    <w:rsid w:val="009C5480"/>
    <w:pPr>
      <w:numPr>
        <w:numId w:val="12"/>
      </w:numPr>
      <w:spacing w:before="120" w:after="140" w:line="340" w:lineRule="exact"/>
      <w:outlineLvl w:val="0"/>
    </w:pPr>
    <w:rPr>
      <w:rFonts w:ascii="Frutiger 45" w:hAnsi="Frutiger 45"/>
      <w:sz w:val="28"/>
    </w:rPr>
  </w:style>
  <w:style w:type="paragraph" w:customStyle="1" w:styleId="T5PageNumber">
    <w:name w:val="T5PageNumber"/>
    <w:basedOn w:val="Footer"/>
    <w:rsid w:val="009C5480"/>
    <w:rPr>
      <w:sz w:val="22"/>
    </w:rPr>
  </w:style>
  <w:style w:type="paragraph" w:styleId="BodyText2">
    <w:name w:val="Body Text 2"/>
    <w:basedOn w:val="Normal"/>
    <w:semiHidden/>
    <w:rsid w:val="009C5480"/>
    <w:pPr>
      <w:spacing w:after="120" w:line="480" w:lineRule="auto"/>
    </w:pPr>
  </w:style>
  <w:style w:type="paragraph" w:styleId="BodyText3">
    <w:name w:val="Body Text 3"/>
    <w:basedOn w:val="Normal"/>
    <w:semiHidden/>
    <w:rsid w:val="009C5480"/>
    <w:pPr>
      <w:spacing w:after="120"/>
    </w:pPr>
    <w:rPr>
      <w:sz w:val="16"/>
      <w:szCs w:val="16"/>
    </w:rPr>
  </w:style>
  <w:style w:type="paragraph" w:styleId="BodyTextFirstIndent">
    <w:name w:val="Body Text First Indent"/>
    <w:basedOn w:val="BodyText"/>
    <w:semiHidden/>
    <w:rsid w:val="009C5480"/>
    <w:pPr>
      <w:spacing w:after="120"/>
      <w:ind w:firstLine="210"/>
    </w:pPr>
    <w:rPr>
      <w:sz w:val="24"/>
    </w:rPr>
  </w:style>
  <w:style w:type="paragraph" w:styleId="BodyTextIndent">
    <w:name w:val="Body Text Indent"/>
    <w:basedOn w:val="Normal"/>
    <w:semiHidden/>
    <w:rsid w:val="009C5480"/>
    <w:pPr>
      <w:spacing w:after="120"/>
      <w:ind w:left="283"/>
    </w:pPr>
  </w:style>
  <w:style w:type="paragraph" w:styleId="BodyTextFirstIndent2">
    <w:name w:val="Body Text First Indent 2"/>
    <w:basedOn w:val="BodyTextIndent"/>
    <w:semiHidden/>
    <w:rsid w:val="009C5480"/>
    <w:pPr>
      <w:ind w:firstLine="210"/>
    </w:pPr>
  </w:style>
  <w:style w:type="paragraph" w:styleId="BodyTextIndent2">
    <w:name w:val="Body Text Indent 2"/>
    <w:basedOn w:val="Normal"/>
    <w:semiHidden/>
    <w:rsid w:val="009C5480"/>
    <w:pPr>
      <w:spacing w:after="120" w:line="480" w:lineRule="auto"/>
      <w:ind w:left="283"/>
    </w:pPr>
  </w:style>
  <w:style w:type="paragraph" w:styleId="BodyTextIndent3">
    <w:name w:val="Body Text Indent 3"/>
    <w:basedOn w:val="Normal"/>
    <w:semiHidden/>
    <w:rsid w:val="009C5480"/>
    <w:pPr>
      <w:spacing w:after="120"/>
      <w:ind w:left="283"/>
    </w:pPr>
    <w:rPr>
      <w:sz w:val="16"/>
      <w:szCs w:val="16"/>
    </w:rPr>
  </w:style>
  <w:style w:type="paragraph" w:styleId="Caption">
    <w:name w:val="caption"/>
    <w:basedOn w:val="Normal"/>
    <w:next w:val="Normal"/>
    <w:qFormat/>
    <w:rsid w:val="009C5480"/>
    <w:pPr>
      <w:spacing w:before="120" w:after="120"/>
    </w:pPr>
    <w:rPr>
      <w:b/>
      <w:bCs/>
      <w:sz w:val="20"/>
    </w:rPr>
  </w:style>
  <w:style w:type="character" w:styleId="CommentReference">
    <w:name w:val="annotation reference"/>
    <w:basedOn w:val="DefaultParagraphFont"/>
    <w:semiHidden/>
    <w:rsid w:val="009C5480"/>
    <w:rPr>
      <w:sz w:val="16"/>
      <w:szCs w:val="16"/>
    </w:rPr>
  </w:style>
  <w:style w:type="paragraph" w:styleId="CommentText">
    <w:name w:val="annotation text"/>
    <w:basedOn w:val="Normal"/>
    <w:link w:val="CommentTextChar"/>
    <w:semiHidden/>
    <w:rsid w:val="009C5480"/>
    <w:rPr>
      <w:sz w:val="20"/>
    </w:rPr>
  </w:style>
  <w:style w:type="paragraph" w:styleId="Date">
    <w:name w:val="Date"/>
    <w:basedOn w:val="Normal"/>
    <w:next w:val="Normal"/>
    <w:semiHidden/>
    <w:rsid w:val="009C5480"/>
  </w:style>
  <w:style w:type="paragraph" w:styleId="E-mailSignature">
    <w:name w:val="E-mail Signature"/>
    <w:basedOn w:val="Normal"/>
    <w:semiHidden/>
    <w:rsid w:val="009C5480"/>
  </w:style>
  <w:style w:type="character" w:styleId="Emphasis">
    <w:name w:val="Emphasis"/>
    <w:basedOn w:val="DefaultParagraphFont"/>
    <w:qFormat/>
    <w:rsid w:val="009C5480"/>
    <w:rPr>
      <w:i/>
      <w:iCs/>
    </w:rPr>
  </w:style>
  <w:style w:type="character" w:styleId="EndnoteReference">
    <w:name w:val="endnote reference"/>
    <w:basedOn w:val="DefaultParagraphFont"/>
    <w:semiHidden/>
    <w:rsid w:val="009C5480"/>
    <w:rPr>
      <w:vertAlign w:val="superscript"/>
    </w:rPr>
  </w:style>
  <w:style w:type="paragraph" w:styleId="EnvelopeAddress">
    <w:name w:val="envelope address"/>
    <w:basedOn w:val="Normal"/>
    <w:semiHidden/>
    <w:rsid w:val="009C548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9C5480"/>
    <w:rPr>
      <w:rFonts w:ascii="Arial" w:hAnsi="Arial" w:cs="Arial"/>
      <w:sz w:val="20"/>
    </w:rPr>
  </w:style>
  <w:style w:type="character" w:styleId="FollowedHyperlink">
    <w:name w:val="FollowedHyperlink"/>
    <w:basedOn w:val="DefaultParagraphFont"/>
    <w:semiHidden/>
    <w:rsid w:val="009C5480"/>
    <w:rPr>
      <w:color w:val="800080"/>
      <w:u w:val="single"/>
    </w:rPr>
  </w:style>
  <w:style w:type="character" w:styleId="HTMLAcronym">
    <w:name w:val="HTML Acronym"/>
    <w:basedOn w:val="DefaultParagraphFont"/>
    <w:semiHidden/>
    <w:rsid w:val="009C5480"/>
  </w:style>
  <w:style w:type="paragraph" w:styleId="HTMLAddress">
    <w:name w:val="HTML Address"/>
    <w:basedOn w:val="Normal"/>
    <w:semiHidden/>
    <w:rsid w:val="009C5480"/>
    <w:rPr>
      <w:i/>
      <w:iCs/>
    </w:rPr>
  </w:style>
  <w:style w:type="character" w:styleId="HTMLCite">
    <w:name w:val="HTML Cite"/>
    <w:basedOn w:val="DefaultParagraphFont"/>
    <w:uiPriority w:val="99"/>
    <w:semiHidden/>
    <w:rsid w:val="009C5480"/>
    <w:rPr>
      <w:i/>
      <w:iCs/>
    </w:rPr>
  </w:style>
  <w:style w:type="character" w:styleId="HTMLCode">
    <w:name w:val="HTML Code"/>
    <w:basedOn w:val="DefaultParagraphFont"/>
    <w:semiHidden/>
    <w:rsid w:val="009C5480"/>
    <w:rPr>
      <w:rFonts w:ascii="Courier New" w:hAnsi="Courier New"/>
      <w:sz w:val="20"/>
      <w:szCs w:val="20"/>
    </w:rPr>
  </w:style>
  <w:style w:type="character" w:styleId="HTMLDefinition">
    <w:name w:val="HTML Definition"/>
    <w:basedOn w:val="DefaultParagraphFont"/>
    <w:semiHidden/>
    <w:rsid w:val="009C5480"/>
    <w:rPr>
      <w:i/>
      <w:iCs/>
    </w:rPr>
  </w:style>
  <w:style w:type="character" w:styleId="HTMLKeyboard">
    <w:name w:val="HTML Keyboard"/>
    <w:basedOn w:val="DefaultParagraphFont"/>
    <w:semiHidden/>
    <w:rsid w:val="009C5480"/>
    <w:rPr>
      <w:rFonts w:ascii="Courier New" w:hAnsi="Courier New"/>
      <w:sz w:val="20"/>
      <w:szCs w:val="20"/>
    </w:rPr>
  </w:style>
  <w:style w:type="paragraph" w:styleId="HTMLPreformatted">
    <w:name w:val="HTML Preformatted"/>
    <w:basedOn w:val="Normal"/>
    <w:semiHidden/>
    <w:rsid w:val="009C5480"/>
    <w:rPr>
      <w:rFonts w:ascii="Courier New" w:hAnsi="Courier New" w:cs="Courier New"/>
      <w:sz w:val="20"/>
    </w:rPr>
  </w:style>
  <w:style w:type="character" w:styleId="HTMLSample">
    <w:name w:val="HTML Sample"/>
    <w:basedOn w:val="DefaultParagraphFont"/>
    <w:semiHidden/>
    <w:rsid w:val="009C5480"/>
    <w:rPr>
      <w:rFonts w:ascii="Courier New" w:hAnsi="Courier New"/>
    </w:rPr>
  </w:style>
  <w:style w:type="character" w:styleId="HTMLTypewriter">
    <w:name w:val="HTML Typewriter"/>
    <w:basedOn w:val="DefaultParagraphFont"/>
    <w:semiHidden/>
    <w:rsid w:val="009C5480"/>
    <w:rPr>
      <w:rFonts w:ascii="Courier New" w:hAnsi="Courier New"/>
      <w:sz w:val="20"/>
      <w:szCs w:val="20"/>
    </w:rPr>
  </w:style>
  <w:style w:type="character" w:styleId="HTMLVariable">
    <w:name w:val="HTML Variable"/>
    <w:basedOn w:val="DefaultParagraphFont"/>
    <w:semiHidden/>
    <w:rsid w:val="009C5480"/>
    <w:rPr>
      <w:i/>
      <w:iCs/>
    </w:rPr>
  </w:style>
  <w:style w:type="character" w:styleId="Hyperlink">
    <w:name w:val="Hyperlink"/>
    <w:basedOn w:val="DefaultParagraphFont"/>
    <w:uiPriority w:val="99"/>
    <w:rsid w:val="009C5480"/>
    <w:rPr>
      <w:color w:val="0000FF"/>
      <w:u w:val="single"/>
    </w:rPr>
  </w:style>
  <w:style w:type="paragraph" w:styleId="Index1">
    <w:name w:val="index 1"/>
    <w:basedOn w:val="Normal"/>
    <w:next w:val="Normal"/>
    <w:autoRedefine/>
    <w:semiHidden/>
    <w:rsid w:val="009C5480"/>
    <w:pPr>
      <w:ind w:left="240" w:hanging="240"/>
    </w:pPr>
  </w:style>
  <w:style w:type="paragraph" w:styleId="Index2">
    <w:name w:val="index 2"/>
    <w:basedOn w:val="Normal"/>
    <w:next w:val="Normal"/>
    <w:autoRedefine/>
    <w:semiHidden/>
    <w:rsid w:val="009C5480"/>
    <w:pPr>
      <w:ind w:left="480" w:hanging="240"/>
    </w:pPr>
  </w:style>
  <w:style w:type="paragraph" w:styleId="Index3">
    <w:name w:val="index 3"/>
    <w:basedOn w:val="Normal"/>
    <w:next w:val="Normal"/>
    <w:autoRedefine/>
    <w:semiHidden/>
    <w:rsid w:val="009C5480"/>
    <w:pPr>
      <w:ind w:left="720" w:hanging="240"/>
    </w:pPr>
  </w:style>
  <w:style w:type="paragraph" w:styleId="Index4">
    <w:name w:val="index 4"/>
    <w:basedOn w:val="Normal"/>
    <w:next w:val="Normal"/>
    <w:autoRedefine/>
    <w:semiHidden/>
    <w:rsid w:val="009C5480"/>
    <w:pPr>
      <w:ind w:left="960" w:hanging="240"/>
    </w:pPr>
  </w:style>
  <w:style w:type="paragraph" w:styleId="Index5">
    <w:name w:val="index 5"/>
    <w:basedOn w:val="Normal"/>
    <w:next w:val="Normal"/>
    <w:autoRedefine/>
    <w:semiHidden/>
    <w:rsid w:val="009C5480"/>
    <w:pPr>
      <w:ind w:left="1200" w:hanging="240"/>
    </w:pPr>
  </w:style>
  <w:style w:type="paragraph" w:styleId="Index6">
    <w:name w:val="index 6"/>
    <w:basedOn w:val="Normal"/>
    <w:next w:val="Normal"/>
    <w:autoRedefine/>
    <w:semiHidden/>
    <w:rsid w:val="009C5480"/>
    <w:pPr>
      <w:ind w:left="1440" w:hanging="240"/>
    </w:pPr>
  </w:style>
  <w:style w:type="paragraph" w:styleId="Index7">
    <w:name w:val="index 7"/>
    <w:basedOn w:val="Normal"/>
    <w:next w:val="Normal"/>
    <w:autoRedefine/>
    <w:semiHidden/>
    <w:rsid w:val="009C5480"/>
    <w:pPr>
      <w:ind w:left="1680" w:hanging="240"/>
    </w:pPr>
  </w:style>
  <w:style w:type="paragraph" w:styleId="Index8">
    <w:name w:val="index 8"/>
    <w:basedOn w:val="Normal"/>
    <w:next w:val="Normal"/>
    <w:autoRedefine/>
    <w:semiHidden/>
    <w:rsid w:val="009C5480"/>
    <w:pPr>
      <w:ind w:left="1920" w:hanging="240"/>
    </w:pPr>
  </w:style>
  <w:style w:type="paragraph" w:styleId="Index9">
    <w:name w:val="index 9"/>
    <w:basedOn w:val="Normal"/>
    <w:next w:val="Normal"/>
    <w:autoRedefine/>
    <w:semiHidden/>
    <w:rsid w:val="009C5480"/>
    <w:pPr>
      <w:ind w:left="2160" w:hanging="240"/>
    </w:pPr>
  </w:style>
  <w:style w:type="paragraph" w:styleId="IndexHeading">
    <w:name w:val="index heading"/>
    <w:basedOn w:val="Normal"/>
    <w:next w:val="Index1"/>
    <w:semiHidden/>
    <w:rsid w:val="009C5480"/>
    <w:rPr>
      <w:rFonts w:ascii="Arial" w:hAnsi="Arial" w:cs="Arial"/>
      <w:b/>
      <w:bCs/>
    </w:rPr>
  </w:style>
  <w:style w:type="character" w:styleId="LineNumber">
    <w:name w:val="line number"/>
    <w:basedOn w:val="DefaultParagraphFont"/>
    <w:semiHidden/>
    <w:rsid w:val="009C5480"/>
  </w:style>
  <w:style w:type="paragraph" w:styleId="List">
    <w:name w:val="List"/>
    <w:basedOn w:val="Normal"/>
    <w:semiHidden/>
    <w:rsid w:val="009C5480"/>
    <w:pPr>
      <w:ind w:left="283" w:hanging="283"/>
    </w:pPr>
  </w:style>
  <w:style w:type="paragraph" w:styleId="List2">
    <w:name w:val="List 2"/>
    <w:basedOn w:val="Normal"/>
    <w:semiHidden/>
    <w:rsid w:val="009C5480"/>
    <w:pPr>
      <w:ind w:left="566" w:hanging="283"/>
    </w:pPr>
  </w:style>
  <w:style w:type="paragraph" w:styleId="List3">
    <w:name w:val="List 3"/>
    <w:basedOn w:val="Normal"/>
    <w:semiHidden/>
    <w:rsid w:val="009C5480"/>
    <w:pPr>
      <w:ind w:left="849" w:hanging="283"/>
    </w:pPr>
  </w:style>
  <w:style w:type="paragraph" w:styleId="List4">
    <w:name w:val="List 4"/>
    <w:basedOn w:val="Normal"/>
    <w:semiHidden/>
    <w:rsid w:val="009C5480"/>
    <w:pPr>
      <w:ind w:left="1132" w:hanging="283"/>
    </w:pPr>
  </w:style>
  <w:style w:type="paragraph" w:styleId="List5">
    <w:name w:val="List 5"/>
    <w:basedOn w:val="Normal"/>
    <w:semiHidden/>
    <w:rsid w:val="009C5480"/>
    <w:pPr>
      <w:ind w:left="1415" w:hanging="283"/>
    </w:pPr>
  </w:style>
  <w:style w:type="paragraph" w:styleId="ListBullet">
    <w:name w:val="List Bullet"/>
    <w:basedOn w:val="Normal"/>
    <w:autoRedefine/>
    <w:semiHidden/>
    <w:rsid w:val="009C5480"/>
    <w:pPr>
      <w:numPr>
        <w:numId w:val="2"/>
      </w:numPr>
    </w:pPr>
  </w:style>
  <w:style w:type="paragraph" w:styleId="ListBullet2">
    <w:name w:val="List Bullet 2"/>
    <w:basedOn w:val="Normal"/>
    <w:autoRedefine/>
    <w:semiHidden/>
    <w:rsid w:val="009C5480"/>
    <w:pPr>
      <w:numPr>
        <w:numId w:val="3"/>
      </w:numPr>
    </w:pPr>
  </w:style>
  <w:style w:type="paragraph" w:styleId="ListBullet3">
    <w:name w:val="List Bullet 3"/>
    <w:basedOn w:val="Normal"/>
    <w:autoRedefine/>
    <w:semiHidden/>
    <w:rsid w:val="009C5480"/>
    <w:pPr>
      <w:numPr>
        <w:numId w:val="4"/>
      </w:numPr>
    </w:pPr>
  </w:style>
  <w:style w:type="paragraph" w:styleId="ListBullet4">
    <w:name w:val="List Bullet 4"/>
    <w:basedOn w:val="Normal"/>
    <w:autoRedefine/>
    <w:semiHidden/>
    <w:rsid w:val="009C5480"/>
    <w:pPr>
      <w:numPr>
        <w:numId w:val="5"/>
      </w:numPr>
    </w:pPr>
  </w:style>
  <w:style w:type="paragraph" w:styleId="ListBullet5">
    <w:name w:val="List Bullet 5"/>
    <w:basedOn w:val="Normal"/>
    <w:autoRedefine/>
    <w:semiHidden/>
    <w:rsid w:val="009C5480"/>
    <w:pPr>
      <w:numPr>
        <w:numId w:val="6"/>
      </w:numPr>
    </w:pPr>
  </w:style>
  <w:style w:type="paragraph" w:styleId="ListContinue">
    <w:name w:val="List Continue"/>
    <w:basedOn w:val="Normal"/>
    <w:semiHidden/>
    <w:rsid w:val="009C5480"/>
    <w:pPr>
      <w:spacing w:after="120"/>
      <w:ind w:left="283"/>
    </w:pPr>
  </w:style>
  <w:style w:type="paragraph" w:styleId="ListContinue2">
    <w:name w:val="List Continue 2"/>
    <w:basedOn w:val="Normal"/>
    <w:semiHidden/>
    <w:rsid w:val="009C5480"/>
    <w:pPr>
      <w:spacing w:after="120"/>
      <w:ind w:left="566"/>
    </w:pPr>
  </w:style>
  <w:style w:type="paragraph" w:styleId="ListContinue3">
    <w:name w:val="List Continue 3"/>
    <w:basedOn w:val="Normal"/>
    <w:semiHidden/>
    <w:rsid w:val="009C5480"/>
    <w:pPr>
      <w:spacing w:after="120"/>
      <w:ind w:left="849"/>
    </w:pPr>
  </w:style>
  <w:style w:type="paragraph" w:styleId="ListContinue4">
    <w:name w:val="List Continue 4"/>
    <w:basedOn w:val="Normal"/>
    <w:semiHidden/>
    <w:rsid w:val="009C5480"/>
    <w:pPr>
      <w:spacing w:after="120"/>
      <w:ind w:left="1132"/>
    </w:pPr>
  </w:style>
  <w:style w:type="paragraph" w:styleId="ListContinue5">
    <w:name w:val="List Continue 5"/>
    <w:basedOn w:val="Normal"/>
    <w:semiHidden/>
    <w:rsid w:val="009C5480"/>
    <w:pPr>
      <w:spacing w:after="120"/>
      <w:ind w:left="1415"/>
    </w:pPr>
  </w:style>
  <w:style w:type="paragraph" w:styleId="ListNumber">
    <w:name w:val="List Number"/>
    <w:basedOn w:val="Normal"/>
    <w:semiHidden/>
    <w:rsid w:val="009C5480"/>
    <w:pPr>
      <w:numPr>
        <w:numId w:val="7"/>
      </w:numPr>
    </w:pPr>
  </w:style>
  <w:style w:type="paragraph" w:styleId="ListNumber2">
    <w:name w:val="List Number 2"/>
    <w:basedOn w:val="Normal"/>
    <w:semiHidden/>
    <w:rsid w:val="009C5480"/>
    <w:pPr>
      <w:numPr>
        <w:numId w:val="8"/>
      </w:numPr>
    </w:pPr>
  </w:style>
  <w:style w:type="paragraph" w:styleId="ListNumber3">
    <w:name w:val="List Number 3"/>
    <w:basedOn w:val="Normal"/>
    <w:semiHidden/>
    <w:rsid w:val="009C5480"/>
    <w:pPr>
      <w:numPr>
        <w:numId w:val="9"/>
      </w:numPr>
    </w:pPr>
  </w:style>
  <w:style w:type="paragraph" w:styleId="ListNumber4">
    <w:name w:val="List Number 4"/>
    <w:basedOn w:val="Normal"/>
    <w:semiHidden/>
    <w:rsid w:val="009C5480"/>
    <w:pPr>
      <w:numPr>
        <w:numId w:val="10"/>
      </w:numPr>
    </w:pPr>
  </w:style>
  <w:style w:type="paragraph" w:styleId="ListNumber5">
    <w:name w:val="List Number 5"/>
    <w:basedOn w:val="Normal"/>
    <w:semiHidden/>
    <w:rsid w:val="009C5480"/>
    <w:pPr>
      <w:numPr>
        <w:numId w:val="11"/>
      </w:numPr>
    </w:pPr>
  </w:style>
  <w:style w:type="paragraph" w:styleId="MacroText">
    <w:name w:val="macro"/>
    <w:semiHidden/>
    <w:rsid w:val="009C548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9C54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sid w:val="009C5480"/>
    <w:rPr>
      <w:szCs w:val="24"/>
    </w:rPr>
  </w:style>
  <w:style w:type="paragraph" w:styleId="NormalIndent">
    <w:name w:val="Normal Indent"/>
    <w:basedOn w:val="Normal"/>
    <w:semiHidden/>
    <w:rsid w:val="009C5480"/>
    <w:pPr>
      <w:ind w:left="720"/>
    </w:pPr>
  </w:style>
  <w:style w:type="paragraph" w:styleId="NoteHeading">
    <w:name w:val="Note Heading"/>
    <w:basedOn w:val="Normal"/>
    <w:next w:val="Normal"/>
    <w:semiHidden/>
    <w:rsid w:val="009C5480"/>
  </w:style>
  <w:style w:type="paragraph" w:styleId="PlainText">
    <w:name w:val="Plain Text"/>
    <w:basedOn w:val="Normal"/>
    <w:semiHidden/>
    <w:rsid w:val="009C5480"/>
    <w:rPr>
      <w:rFonts w:ascii="Courier New" w:hAnsi="Courier New" w:cs="Courier New"/>
      <w:sz w:val="20"/>
    </w:rPr>
  </w:style>
  <w:style w:type="paragraph" w:styleId="Salutation">
    <w:name w:val="Salutation"/>
    <w:basedOn w:val="Normal"/>
    <w:next w:val="Normal"/>
    <w:semiHidden/>
    <w:rsid w:val="009C5480"/>
  </w:style>
  <w:style w:type="paragraph" w:styleId="Signature">
    <w:name w:val="Signature"/>
    <w:basedOn w:val="Normal"/>
    <w:semiHidden/>
    <w:rsid w:val="009C5480"/>
    <w:pPr>
      <w:ind w:left="4252"/>
    </w:pPr>
  </w:style>
  <w:style w:type="character" w:styleId="Strong">
    <w:name w:val="Strong"/>
    <w:basedOn w:val="DefaultParagraphFont"/>
    <w:uiPriority w:val="22"/>
    <w:qFormat/>
    <w:rsid w:val="009C5480"/>
    <w:rPr>
      <w:b/>
      <w:bCs/>
    </w:rPr>
  </w:style>
  <w:style w:type="paragraph" w:styleId="Subtitle">
    <w:name w:val="Subtitle"/>
    <w:basedOn w:val="Normal"/>
    <w:qFormat/>
    <w:rsid w:val="009C5480"/>
    <w:pPr>
      <w:spacing w:after="60"/>
      <w:jc w:val="center"/>
      <w:outlineLvl w:val="1"/>
    </w:pPr>
    <w:rPr>
      <w:rFonts w:ascii="Arial" w:hAnsi="Arial" w:cs="Arial"/>
      <w:szCs w:val="24"/>
    </w:rPr>
  </w:style>
  <w:style w:type="paragraph" w:styleId="TableofAuthorities">
    <w:name w:val="table of authorities"/>
    <w:basedOn w:val="Normal"/>
    <w:next w:val="Normal"/>
    <w:semiHidden/>
    <w:rsid w:val="009C5480"/>
    <w:pPr>
      <w:ind w:left="240" w:hanging="240"/>
    </w:pPr>
  </w:style>
  <w:style w:type="paragraph" w:styleId="TableofFigures">
    <w:name w:val="table of figures"/>
    <w:basedOn w:val="Normal"/>
    <w:next w:val="Normal"/>
    <w:semiHidden/>
    <w:rsid w:val="009C5480"/>
    <w:pPr>
      <w:ind w:left="480" w:hanging="480"/>
    </w:pPr>
  </w:style>
  <w:style w:type="paragraph" w:styleId="Title">
    <w:name w:val="Title"/>
    <w:basedOn w:val="Normal"/>
    <w:qFormat/>
    <w:rsid w:val="009C548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C5480"/>
    <w:pPr>
      <w:spacing w:before="120"/>
    </w:pPr>
    <w:rPr>
      <w:rFonts w:ascii="Arial" w:hAnsi="Arial" w:cs="Arial"/>
      <w:b/>
      <w:bCs/>
      <w:szCs w:val="24"/>
    </w:rPr>
  </w:style>
  <w:style w:type="paragraph" w:styleId="TOC1">
    <w:name w:val="toc 1"/>
    <w:basedOn w:val="Normal"/>
    <w:next w:val="Normal"/>
    <w:autoRedefine/>
    <w:semiHidden/>
    <w:rsid w:val="009C5480"/>
  </w:style>
  <w:style w:type="paragraph" w:styleId="TOC2">
    <w:name w:val="toc 2"/>
    <w:basedOn w:val="Normal"/>
    <w:next w:val="Normal"/>
    <w:autoRedefine/>
    <w:semiHidden/>
    <w:rsid w:val="009C5480"/>
    <w:pPr>
      <w:ind w:left="240"/>
    </w:pPr>
  </w:style>
  <w:style w:type="paragraph" w:styleId="TOC3">
    <w:name w:val="toc 3"/>
    <w:basedOn w:val="Normal"/>
    <w:next w:val="Normal"/>
    <w:autoRedefine/>
    <w:semiHidden/>
    <w:rsid w:val="009C5480"/>
    <w:pPr>
      <w:ind w:left="480"/>
    </w:pPr>
  </w:style>
  <w:style w:type="paragraph" w:styleId="TOC4">
    <w:name w:val="toc 4"/>
    <w:basedOn w:val="Normal"/>
    <w:next w:val="Normal"/>
    <w:autoRedefine/>
    <w:semiHidden/>
    <w:rsid w:val="009C5480"/>
    <w:pPr>
      <w:ind w:left="720"/>
    </w:pPr>
  </w:style>
  <w:style w:type="paragraph" w:styleId="TOC5">
    <w:name w:val="toc 5"/>
    <w:basedOn w:val="Normal"/>
    <w:next w:val="Normal"/>
    <w:autoRedefine/>
    <w:semiHidden/>
    <w:rsid w:val="009C5480"/>
    <w:pPr>
      <w:ind w:left="960"/>
    </w:pPr>
  </w:style>
  <w:style w:type="paragraph" w:styleId="TOC6">
    <w:name w:val="toc 6"/>
    <w:basedOn w:val="Normal"/>
    <w:next w:val="Normal"/>
    <w:autoRedefine/>
    <w:semiHidden/>
    <w:rsid w:val="009C5480"/>
    <w:pPr>
      <w:ind w:left="1200"/>
    </w:pPr>
  </w:style>
  <w:style w:type="paragraph" w:styleId="TOC7">
    <w:name w:val="toc 7"/>
    <w:basedOn w:val="Normal"/>
    <w:next w:val="Normal"/>
    <w:autoRedefine/>
    <w:semiHidden/>
    <w:rsid w:val="009C5480"/>
    <w:pPr>
      <w:ind w:left="1440"/>
    </w:pPr>
  </w:style>
  <w:style w:type="paragraph" w:styleId="TOC8">
    <w:name w:val="toc 8"/>
    <w:basedOn w:val="Normal"/>
    <w:next w:val="Normal"/>
    <w:autoRedefine/>
    <w:semiHidden/>
    <w:rsid w:val="009C5480"/>
    <w:pPr>
      <w:ind w:left="1680"/>
    </w:pPr>
  </w:style>
  <w:style w:type="paragraph" w:styleId="TOC9">
    <w:name w:val="toc 9"/>
    <w:basedOn w:val="Normal"/>
    <w:next w:val="Normal"/>
    <w:autoRedefine/>
    <w:semiHidden/>
    <w:rsid w:val="009C5480"/>
    <w:pPr>
      <w:ind w:left="1920"/>
    </w:pPr>
  </w:style>
  <w:style w:type="paragraph" w:customStyle="1" w:styleId="T5Table">
    <w:name w:val="T5Table"/>
    <w:basedOn w:val="Normal"/>
    <w:rsid w:val="009C5480"/>
    <w:pPr>
      <w:widowControl/>
      <w:spacing w:line="240" w:lineRule="atLeast"/>
      <w:jc w:val="right"/>
    </w:pPr>
    <w:rPr>
      <w:rFonts w:ascii="Frutiger 45" w:hAnsi="Frutiger 45"/>
      <w:snapToGrid/>
      <w:sz w:val="18"/>
      <w:szCs w:val="24"/>
    </w:rPr>
  </w:style>
  <w:style w:type="table" w:styleId="TableGrid">
    <w:name w:val="Table Grid"/>
    <w:basedOn w:val="TableNormal"/>
    <w:uiPriority w:val="59"/>
    <w:rsid w:val="00F773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735D"/>
    <w:pPr>
      <w:ind w:left="720"/>
    </w:pPr>
  </w:style>
  <w:style w:type="paragraph" w:customStyle="1" w:styleId="T11TextBody">
    <w:name w:val="T11TextBody"/>
    <w:basedOn w:val="Normal"/>
    <w:rsid w:val="00963446"/>
    <w:pPr>
      <w:widowControl/>
      <w:spacing w:after="140" w:line="300" w:lineRule="exact"/>
    </w:pPr>
    <w:rPr>
      <w:rFonts w:ascii="Frutiger 45" w:hAnsi="Frutiger 45"/>
      <w:sz w:val="22"/>
    </w:rPr>
  </w:style>
  <w:style w:type="character" w:customStyle="1" w:styleId="T11TextBold">
    <w:name w:val="T11TextBold"/>
    <w:rsid w:val="00963446"/>
    <w:rPr>
      <w:rFonts w:ascii="Frutiger 55" w:hAnsi="Frutiger 55"/>
      <w:b/>
      <w:sz w:val="22"/>
    </w:rPr>
  </w:style>
  <w:style w:type="character" w:customStyle="1" w:styleId="FootnoteTextChar">
    <w:name w:val="Footnote Text Char"/>
    <w:basedOn w:val="DefaultParagraphFont"/>
    <w:link w:val="FootnoteText"/>
    <w:uiPriority w:val="99"/>
    <w:semiHidden/>
    <w:rsid w:val="00963446"/>
    <w:rPr>
      <w:rFonts w:ascii="Sabon" w:hAnsi="Sabon"/>
      <w:snapToGrid w:val="0"/>
      <w:sz w:val="18"/>
      <w:lang w:eastAsia="en-US"/>
    </w:rPr>
  </w:style>
  <w:style w:type="paragraph" w:customStyle="1" w:styleId="T5TextHeadng">
    <w:name w:val="T5TextHeadng"/>
    <w:basedOn w:val="Normal"/>
    <w:next w:val="T5TextBody"/>
    <w:rsid w:val="00963446"/>
    <w:pPr>
      <w:spacing w:line="320" w:lineRule="exact"/>
    </w:pPr>
    <w:rPr>
      <w:rFonts w:ascii="Frutiger 55" w:hAnsi="Frutiger 55"/>
      <w:b/>
      <w:sz w:val="22"/>
    </w:rPr>
  </w:style>
  <w:style w:type="paragraph" w:styleId="BalloonText">
    <w:name w:val="Balloon Text"/>
    <w:basedOn w:val="Normal"/>
    <w:link w:val="BalloonTextChar"/>
    <w:uiPriority w:val="99"/>
    <w:semiHidden/>
    <w:unhideWhenUsed/>
    <w:rsid w:val="00963446"/>
    <w:rPr>
      <w:rFonts w:ascii="Tahoma" w:hAnsi="Tahoma" w:cs="Tahoma"/>
      <w:sz w:val="16"/>
      <w:szCs w:val="16"/>
    </w:rPr>
  </w:style>
  <w:style w:type="character" w:customStyle="1" w:styleId="BalloonTextChar">
    <w:name w:val="Balloon Text Char"/>
    <w:basedOn w:val="DefaultParagraphFont"/>
    <w:link w:val="BalloonText"/>
    <w:uiPriority w:val="99"/>
    <w:semiHidden/>
    <w:rsid w:val="00963446"/>
    <w:rPr>
      <w:rFonts w:ascii="Tahoma" w:hAnsi="Tahoma" w:cs="Tahoma"/>
      <w:snapToGrid w:val="0"/>
      <w:sz w:val="16"/>
      <w:szCs w:val="16"/>
      <w:lang w:eastAsia="en-US"/>
    </w:rPr>
  </w:style>
  <w:style w:type="paragraph" w:customStyle="1" w:styleId="views-field-field-publication-date-value">
    <w:name w:val="views-field-field-publication-date-value"/>
    <w:basedOn w:val="Normal"/>
    <w:rsid w:val="008A51DE"/>
    <w:pPr>
      <w:widowControl/>
      <w:spacing w:after="180" w:line="312" w:lineRule="atLeast"/>
    </w:pPr>
    <w:rPr>
      <w:snapToGrid/>
      <w:color w:val="62768F"/>
      <w:sz w:val="20"/>
      <w:lang w:eastAsia="en-GB"/>
    </w:rPr>
  </w:style>
  <w:style w:type="paragraph" w:customStyle="1" w:styleId="author">
    <w:name w:val="author"/>
    <w:basedOn w:val="Normal"/>
    <w:rsid w:val="008A51DE"/>
    <w:pPr>
      <w:widowControl/>
      <w:spacing w:after="45" w:line="312" w:lineRule="atLeast"/>
    </w:pPr>
    <w:rPr>
      <w:snapToGrid/>
      <w:color w:val="727272"/>
      <w:sz w:val="20"/>
      <w:lang w:eastAsia="en-GB"/>
    </w:rPr>
  </w:style>
  <w:style w:type="paragraph" w:customStyle="1" w:styleId="cnstorysubtitle">
    <w:name w:val="cn_story_subtitle"/>
    <w:basedOn w:val="Normal"/>
    <w:rsid w:val="00823570"/>
    <w:pPr>
      <w:widowControl/>
      <w:spacing w:before="100" w:beforeAutospacing="1" w:after="100" w:afterAutospacing="1"/>
    </w:pPr>
    <w:rPr>
      <w:rFonts w:ascii="Verdana" w:hAnsi="Verdana"/>
      <w:b/>
      <w:bCs/>
      <w:snapToGrid/>
      <w:color w:val="000066"/>
      <w:sz w:val="20"/>
      <w:lang w:eastAsia="en-GB"/>
    </w:rPr>
  </w:style>
  <w:style w:type="character" w:customStyle="1" w:styleId="cnstorytitle1">
    <w:name w:val="cn_story_title1"/>
    <w:basedOn w:val="DefaultParagraphFont"/>
    <w:rsid w:val="00823570"/>
    <w:rPr>
      <w:rFonts w:ascii="Verdana" w:hAnsi="Verdana" w:hint="default"/>
      <w:b/>
      <w:bCs/>
      <w:strike w:val="0"/>
      <w:dstrike w:val="0"/>
      <w:color w:val="000066"/>
      <w:sz w:val="24"/>
      <w:szCs w:val="24"/>
      <w:u w:val="none"/>
      <w:effect w:val="none"/>
    </w:rPr>
  </w:style>
  <w:style w:type="paragraph" w:customStyle="1" w:styleId="quote">
    <w:name w:val="quote"/>
    <w:basedOn w:val="Normal"/>
    <w:rsid w:val="00823570"/>
    <w:pPr>
      <w:widowControl/>
      <w:spacing w:before="100" w:beforeAutospacing="1" w:after="90"/>
    </w:pPr>
    <w:rPr>
      <w:rFonts w:ascii="Georgia" w:hAnsi="Georgia" w:cs="Arial"/>
      <w:i/>
      <w:iCs/>
      <w:snapToGrid/>
      <w:color w:val="333333"/>
      <w:sz w:val="19"/>
      <w:szCs w:val="19"/>
      <w:lang w:eastAsia="en-GB"/>
    </w:rPr>
  </w:style>
  <w:style w:type="paragraph" w:customStyle="1" w:styleId="quotename">
    <w:name w:val="quotename"/>
    <w:basedOn w:val="Normal"/>
    <w:rsid w:val="00823570"/>
    <w:pPr>
      <w:widowControl/>
      <w:spacing w:after="90"/>
    </w:pPr>
    <w:rPr>
      <w:rFonts w:ascii="Arial" w:hAnsi="Arial" w:cs="Arial"/>
      <w:snapToGrid/>
      <w:color w:val="333333"/>
      <w:sz w:val="19"/>
      <w:szCs w:val="19"/>
      <w:lang w:eastAsia="en-GB"/>
    </w:rPr>
  </w:style>
  <w:style w:type="paragraph" w:customStyle="1" w:styleId="Default">
    <w:name w:val="Default"/>
    <w:rsid w:val="00823570"/>
    <w:pPr>
      <w:autoSpaceDE w:val="0"/>
      <w:autoSpaceDN w:val="0"/>
      <w:adjustRightInd w:val="0"/>
    </w:pPr>
    <w:rPr>
      <w:rFonts w:ascii="MCLMN F+ Stone Sans" w:hAnsi="MCLMN F+ Stone Sans" w:cs="MCLMN F+ Stone Sans"/>
      <w:color w:val="000000"/>
      <w:sz w:val="24"/>
      <w:szCs w:val="24"/>
    </w:rPr>
  </w:style>
  <w:style w:type="paragraph" w:customStyle="1" w:styleId="CM24">
    <w:name w:val="CM24"/>
    <w:basedOn w:val="Default"/>
    <w:next w:val="Default"/>
    <w:uiPriority w:val="99"/>
    <w:rsid w:val="00823570"/>
    <w:rPr>
      <w:rFonts w:cs="Times New Roman"/>
      <w:color w:val="auto"/>
    </w:rPr>
  </w:style>
  <w:style w:type="character" w:customStyle="1" w:styleId="Heading5Char">
    <w:name w:val="Heading 5 Char"/>
    <w:basedOn w:val="DefaultParagraphFont"/>
    <w:link w:val="Heading5"/>
    <w:uiPriority w:val="9"/>
    <w:rsid w:val="00823570"/>
    <w:rPr>
      <w:b/>
      <w:bCs/>
      <w:i/>
      <w:iCs/>
      <w:snapToGrid w:val="0"/>
      <w:sz w:val="26"/>
      <w:szCs w:val="26"/>
      <w:lang w:eastAsia="en-US"/>
    </w:rPr>
  </w:style>
  <w:style w:type="character" w:customStyle="1" w:styleId="CommentTextChar">
    <w:name w:val="Comment Text Char"/>
    <w:basedOn w:val="DefaultParagraphFont"/>
    <w:link w:val="CommentText"/>
    <w:semiHidden/>
    <w:rsid w:val="00823570"/>
    <w:rPr>
      <w:snapToGrid w:val="0"/>
      <w:lang w:eastAsia="en-US"/>
    </w:rPr>
  </w:style>
  <w:style w:type="character" w:customStyle="1" w:styleId="st1">
    <w:name w:val="st1"/>
    <w:basedOn w:val="DefaultParagraphFont"/>
    <w:rsid w:val="00806246"/>
  </w:style>
  <w:style w:type="paragraph" w:styleId="Revision">
    <w:name w:val="Revision"/>
    <w:hidden/>
    <w:uiPriority w:val="99"/>
    <w:semiHidden/>
    <w:rsid w:val="00441B5C"/>
    <w:rPr>
      <w:snapToGrid w:val="0"/>
      <w:sz w:val="24"/>
      <w:lang w:eastAsia="en-US"/>
    </w:rPr>
  </w:style>
  <w:style w:type="paragraph" w:customStyle="1" w:styleId="T11Action">
    <w:name w:val="T11Action"/>
    <w:basedOn w:val="Normal"/>
    <w:next w:val="T11TextBody"/>
    <w:rsid w:val="001A3561"/>
    <w:pPr>
      <w:spacing w:before="160" w:after="140" w:line="300" w:lineRule="exact"/>
    </w:pPr>
    <w:rPr>
      <w:rFonts w:ascii="Frutiger 55" w:hAnsi="Frutiger 55"/>
      <w:b/>
      <w:sz w:val="22"/>
    </w:rPr>
  </w:style>
  <w:style w:type="paragraph" w:customStyle="1" w:styleId="Pa2">
    <w:name w:val="Pa2"/>
    <w:basedOn w:val="Default"/>
    <w:next w:val="Default"/>
    <w:uiPriority w:val="99"/>
    <w:rsid w:val="005664D9"/>
    <w:pPr>
      <w:spacing w:line="281" w:lineRule="atLeast"/>
    </w:pPr>
    <w:rPr>
      <w:rFonts w:ascii="Bliss 2 Medium" w:hAnsi="Bliss 2 Medium" w:cs="Times New Roman"/>
      <w:color w:val="auto"/>
    </w:rPr>
  </w:style>
  <w:style w:type="character" w:customStyle="1" w:styleId="A5">
    <w:name w:val="A5"/>
    <w:uiPriority w:val="99"/>
    <w:rsid w:val="005664D9"/>
    <w:rPr>
      <w:rFonts w:ascii="Bliss 2 Light" w:hAnsi="Bliss 2 Light" w:cs="Bliss 2 Light"/>
      <w:color w:val="000000"/>
      <w:sz w:val="32"/>
      <w:szCs w:val="32"/>
    </w:rPr>
  </w:style>
  <w:style w:type="paragraph" w:styleId="CommentSubject">
    <w:name w:val="annotation subject"/>
    <w:basedOn w:val="CommentText"/>
    <w:next w:val="CommentText"/>
    <w:link w:val="CommentSubjectChar"/>
    <w:uiPriority w:val="99"/>
    <w:semiHidden/>
    <w:unhideWhenUsed/>
    <w:rsid w:val="00DE154C"/>
    <w:rPr>
      <w:b/>
      <w:bCs/>
    </w:rPr>
  </w:style>
  <w:style w:type="character" w:customStyle="1" w:styleId="CommentSubjectChar">
    <w:name w:val="Comment Subject Char"/>
    <w:basedOn w:val="CommentTextChar"/>
    <w:link w:val="CommentSubject"/>
    <w:uiPriority w:val="99"/>
    <w:semiHidden/>
    <w:rsid w:val="00DE154C"/>
    <w:rPr>
      <w:b/>
      <w:bCs/>
    </w:rPr>
  </w:style>
  <w:style w:type="paragraph" w:styleId="NoSpacing">
    <w:name w:val="No Spacing"/>
    <w:basedOn w:val="Normal"/>
    <w:uiPriority w:val="1"/>
    <w:qFormat/>
    <w:rsid w:val="00566A36"/>
    <w:pPr>
      <w:widowControl/>
    </w:pPr>
    <w:rPr>
      <w:rFonts w:ascii="Calibri" w:hAnsi="Calibri"/>
      <w:snapToGrid/>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13894968">
      <w:bodyDiv w:val="1"/>
      <w:marLeft w:val="0"/>
      <w:marRight w:val="0"/>
      <w:marTop w:val="0"/>
      <w:marBottom w:val="0"/>
      <w:divBdr>
        <w:top w:val="none" w:sz="0" w:space="0" w:color="auto"/>
        <w:left w:val="none" w:sz="0" w:space="0" w:color="auto"/>
        <w:bottom w:val="none" w:sz="0" w:space="0" w:color="auto"/>
        <w:right w:val="none" w:sz="0" w:space="0" w:color="auto"/>
      </w:divBdr>
      <w:divsChild>
        <w:div w:id="2027949687">
          <w:marLeft w:val="0"/>
          <w:marRight w:val="0"/>
          <w:marTop w:val="0"/>
          <w:marBottom w:val="0"/>
          <w:divBdr>
            <w:top w:val="none" w:sz="0" w:space="0" w:color="auto"/>
            <w:left w:val="none" w:sz="0" w:space="0" w:color="auto"/>
            <w:bottom w:val="none" w:sz="0" w:space="0" w:color="auto"/>
            <w:right w:val="none" w:sz="0" w:space="0" w:color="auto"/>
          </w:divBdr>
          <w:divsChild>
            <w:div w:id="658120039">
              <w:marLeft w:val="0"/>
              <w:marRight w:val="0"/>
              <w:marTop w:val="0"/>
              <w:marBottom w:val="0"/>
              <w:divBdr>
                <w:top w:val="none" w:sz="0" w:space="0" w:color="auto"/>
                <w:left w:val="none" w:sz="0" w:space="0" w:color="auto"/>
                <w:bottom w:val="none" w:sz="0" w:space="0" w:color="auto"/>
                <w:right w:val="none" w:sz="0" w:space="0" w:color="auto"/>
              </w:divBdr>
              <w:divsChild>
                <w:div w:id="1224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6885">
      <w:bodyDiv w:val="1"/>
      <w:marLeft w:val="0"/>
      <w:marRight w:val="0"/>
      <w:marTop w:val="0"/>
      <w:marBottom w:val="0"/>
      <w:divBdr>
        <w:top w:val="none" w:sz="0" w:space="0" w:color="auto"/>
        <w:left w:val="none" w:sz="0" w:space="0" w:color="auto"/>
        <w:bottom w:val="none" w:sz="0" w:space="0" w:color="auto"/>
        <w:right w:val="none" w:sz="0" w:space="0" w:color="auto"/>
      </w:divBdr>
      <w:divsChild>
        <w:div w:id="1116872983">
          <w:marLeft w:val="0"/>
          <w:marRight w:val="0"/>
          <w:marTop w:val="0"/>
          <w:marBottom w:val="0"/>
          <w:divBdr>
            <w:top w:val="none" w:sz="0" w:space="0" w:color="auto"/>
            <w:left w:val="none" w:sz="0" w:space="0" w:color="auto"/>
            <w:bottom w:val="none" w:sz="0" w:space="0" w:color="auto"/>
            <w:right w:val="none" w:sz="0" w:space="0" w:color="auto"/>
          </w:divBdr>
          <w:divsChild>
            <w:div w:id="899556173">
              <w:marLeft w:val="0"/>
              <w:marRight w:val="0"/>
              <w:marTop w:val="0"/>
              <w:marBottom w:val="0"/>
              <w:divBdr>
                <w:top w:val="none" w:sz="0" w:space="0" w:color="auto"/>
                <w:left w:val="none" w:sz="0" w:space="0" w:color="auto"/>
                <w:bottom w:val="none" w:sz="0" w:space="0" w:color="auto"/>
                <w:right w:val="none" w:sz="0" w:space="0" w:color="auto"/>
              </w:divBdr>
              <w:divsChild>
                <w:div w:id="11855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468">
      <w:bodyDiv w:val="1"/>
      <w:marLeft w:val="135"/>
      <w:marRight w:val="135"/>
      <w:marTop w:val="135"/>
      <w:marBottom w:val="0"/>
      <w:divBdr>
        <w:top w:val="none" w:sz="0" w:space="0" w:color="auto"/>
        <w:left w:val="none" w:sz="0" w:space="0" w:color="auto"/>
        <w:bottom w:val="none" w:sz="0" w:space="0" w:color="auto"/>
        <w:right w:val="none" w:sz="0" w:space="0" w:color="auto"/>
      </w:divBdr>
      <w:divsChild>
        <w:div w:id="1374504498">
          <w:marLeft w:val="0"/>
          <w:marRight w:val="0"/>
          <w:marTop w:val="0"/>
          <w:marBottom w:val="0"/>
          <w:divBdr>
            <w:top w:val="none" w:sz="0" w:space="0" w:color="auto"/>
            <w:left w:val="none" w:sz="0" w:space="0" w:color="auto"/>
            <w:bottom w:val="none" w:sz="0" w:space="0" w:color="auto"/>
            <w:right w:val="none" w:sz="0" w:space="0" w:color="auto"/>
          </w:divBdr>
          <w:divsChild>
            <w:div w:id="759179399">
              <w:marLeft w:val="0"/>
              <w:marRight w:val="0"/>
              <w:marTop w:val="0"/>
              <w:marBottom w:val="0"/>
              <w:divBdr>
                <w:top w:val="none" w:sz="0" w:space="0" w:color="auto"/>
                <w:left w:val="none" w:sz="0" w:space="0" w:color="auto"/>
                <w:bottom w:val="none" w:sz="0" w:space="0" w:color="auto"/>
                <w:right w:val="none" w:sz="0" w:space="0" w:color="auto"/>
              </w:divBdr>
              <w:divsChild>
                <w:div w:id="36027982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357237291">
      <w:bodyDiv w:val="1"/>
      <w:marLeft w:val="0"/>
      <w:marRight w:val="0"/>
      <w:marTop w:val="0"/>
      <w:marBottom w:val="0"/>
      <w:divBdr>
        <w:top w:val="none" w:sz="0" w:space="0" w:color="auto"/>
        <w:left w:val="none" w:sz="0" w:space="0" w:color="auto"/>
        <w:bottom w:val="none" w:sz="0" w:space="0" w:color="auto"/>
        <w:right w:val="none" w:sz="0" w:space="0" w:color="auto"/>
      </w:divBdr>
      <w:divsChild>
        <w:div w:id="1383557101">
          <w:marLeft w:val="0"/>
          <w:marRight w:val="0"/>
          <w:marTop w:val="0"/>
          <w:marBottom w:val="0"/>
          <w:divBdr>
            <w:top w:val="none" w:sz="0" w:space="0" w:color="auto"/>
            <w:left w:val="none" w:sz="0" w:space="0" w:color="auto"/>
            <w:bottom w:val="none" w:sz="0" w:space="0" w:color="auto"/>
            <w:right w:val="none" w:sz="0" w:space="0" w:color="auto"/>
          </w:divBdr>
          <w:divsChild>
            <w:div w:id="1871647601">
              <w:marLeft w:val="0"/>
              <w:marRight w:val="0"/>
              <w:marTop w:val="0"/>
              <w:marBottom w:val="0"/>
              <w:divBdr>
                <w:top w:val="none" w:sz="0" w:space="0" w:color="auto"/>
                <w:left w:val="none" w:sz="0" w:space="0" w:color="auto"/>
                <w:bottom w:val="none" w:sz="0" w:space="0" w:color="auto"/>
                <w:right w:val="none" w:sz="0" w:space="0" w:color="auto"/>
              </w:divBdr>
              <w:divsChild>
                <w:div w:id="6203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5124">
      <w:bodyDiv w:val="1"/>
      <w:marLeft w:val="0"/>
      <w:marRight w:val="0"/>
      <w:marTop w:val="0"/>
      <w:marBottom w:val="0"/>
      <w:divBdr>
        <w:top w:val="none" w:sz="0" w:space="0" w:color="auto"/>
        <w:left w:val="none" w:sz="0" w:space="0" w:color="auto"/>
        <w:bottom w:val="none" w:sz="0" w:space="0" w:color="auto"/>
        <w:right w:val="none" w:sz="0" w:space="0" w:color="auto"/>
      </w:divBdr>
    </w:div>
    <w:div w:id="533274971">
      <w:bodyDiv w:val="1"/>
      <w:marLeft w:val="0"/>
      <w:marRight w:val="0"/>
      <w:marTop w:val="0"/>
      <w:marBottom w:val="0"/>
      <w:divBdr>
        <w:top w:val="none" w:sz="0" w:space="0" w:color="auto"/>
        <w:left w:val="none" w:sz="0" w:space="0" w:color="auto"/>
        <w:bottom w:val="none" w:sz="0" w:space="0" w:color="auto"/>
        <w:right w:val="none" w:sz="0" w:space="0" w:color="auto"/>
      </w:divBdr>
      <w:divsChild>
        <w:div w:id="366102600">
          <w:marLeft w:val="0"/>
          <w:marRight w:val="0"/>
          <w:marTop w:val="100"/>
          <w:marBottom w:val="100"/>
          <w:divBdr>
            <w:top w:val="none" w:sz="0" w:space="0" w:color="auto"/>
            <w:left w:val="none" w:sz="0" w:space="0" w:color="auto"/>
            <w:bottom w:val="none" w:sz="0" w:space="0" w:color="auto"/>
            <w:right w:val="none" w:sz="0" w:space="0" w:color="auto"/>
          </w:divBdr>
          <w:divsChild>
            <w:div w:id="1718814347">
              <w:marLeft w:val="0"/>
              <w:marRight w:val="0"/>
              <w:marTop w:val="0"/>
              <w:marBottom w:val="0"/>
              <w:divBdr>
                <w:top w:val="none" w:sz="0" w:space="0" w:color="auto"/>
                <w:left w:val="none" w:sz="0" w:space="0" w:color="auto"/>
                <w:bottom w:val="none" w:sz="0" w:space="0" w:color="auto"/>
                <w:right w:val="none" w:sz="0" w:space="0" w:color="auto"/>
              </w:divBdr>
              <w:divsChild>
                <w:div w:id="1994139690">
                  <w:marLeft w:val="0"/>
                  <w:marRight w:val="0"/>
                  <w:marTop w:val="0"/>
                  <w:marBottom w:val="0"/>
                  <w:divBdr>
                    <w:top w:val="none" w:sz="0" w:space="0" w:color="auto"/>
                    <w:left w:val="none" w:sz="0" w:space="0" w:color="auto"/>
                    <w:bottom w:val="none" w:sz="0" w:space="0" w:color="auto"/>
                    <w:right w:val="none" w:sz="0" w:space="0" w:color="auto"/>
                  </w:divBdr>
                  <w:divsChild>
                    <w:div w:id="273907494">
                      <w:marLeft w:val="0"/>
                      <w:marRight w:val="0"/>
                      <w:marTop w:val="0"/>
                      <w:marBottom w:val="0"/>
                      <w:divBdr>
                        <w:top w:val="none" w:sz="0" w:space="0" w:color="auto"/>
                        <w:left w:val="none" w:sz="0" w:space="0" w:color="auto"/>
                        <w:bottom w:val="none" w:sz="0" w:space="0" w:color="auto"/>
                        <w:right w:val="none" w:sz="0" w:space="0" w:color="auto"/>
                      </w:divBdr>
                      <w:divsChild>
                        <w:div w:id="1201934611">
                          <w:marLeft w:val="0"/>
                          <w:marRight w:val="0"/>
                          <w:marTop w:val="0"/>
                          <w:marBottom w:val="300"/>
                          <w:divBdr>
                            <w:top w:val="none" w:sz="0" w:space="0" w:color="auto"/>
                            <w:left w:val="none" w:sz="0" w:space="0" w:color="auto"/>
                            <w:bottom w:val="none" w:sz="0" w:space="0" w:color="auto"/>
                            <w:right w:val="none" w:sz="0" w:space="0" w:color="auto"/>
                          </w:divBdr>
                          <w:divsChild>
                            <w:div w:id="1260486583">
                              <w:marLeft w:val="0"/>
                              <w:marRight w:val="0"/>
                              <w:marTop w:val="0"/>
                              <w:marBottom w:val="0"/>
                              <w:divBdr>
                                <w:top w:val="none" w:sz="0" w:space="0" w:color="auto"/>
                                <w:left w:val="none" w:sz="0" w:space="0" w:color="auto"/>
                                <w:bottom w:val="none" w:sz="0" w:space="0" w:color="auto"/>
                                <w:right w:val="none" w:sz="0" w:space="0" w:color="auto"/>
                              </w:divBdr>
                              <w:divsChild>
                                <w:div w:id="1785229038">
                                  <w:marLeft w:val="0"/>
                                  <w:marRight w:val="0"/>
                                  <w:marTop w:val="0"/>
                                  <w:marBottom w:val="0"/>
                                  <w:divBdr>
                                    <w:top w:val="none" w:sz="0" w:space="0" w:color="auto"/>
                                    <w:left w:val="none" w:sz="0" w:space="0" w:color="auto"/>
                                    <w:bottom w:val="none" w:sz="0" w:space="0" w:color="auto"/>
                                    <w:right w:val="none" w:sz="0" w:space="0" w:color="auto"/>
                                  </w:divBdr>
                                  <w:divsChild>
                                    <w:div w:id="11457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17888">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752360988">
          <w:marLeft w:val="0"/>
          <w:marRight w:val="0"/>
          <w:marTop w:val="0"/>
          <w:marBottom w:val="0"/>
          <w:divBdr>
            <w:top w:val="single" w:sz="2" w:space="0" w:color="008000"/>
            <w:left w:val="single" w:sz="2" w:space="11" w:color="008000"/>
            <w:bottom w:val="single" w:sz="2" w:space="0" w:color="008000"/>
            <w:right w:val="single" w:sz="2" w:space="0" w:color="008000"/>
          </w:divBdr>
          <w:divsChild>
            <w:div w:id="1288202352">
              <w:marLeft w:val="195"/>
              <w:marRight w:val="0"/>
              <w:marTop w:val="0"/>
              <w:marBottom w:val="225"/>
              <w:divBdr>
                <w:top w:val="single" w:sz="6" w:space="1" w:color="999999"/>
                <w:left w:val="single" w:sz="6" w:space="11" w:color="999999"/>
                <w:bottom w:val="single" w:sz="2" w:space="19" w:color="999999"/>
                <w:right w:val="single" w:sz="2" w:space="11" w:color="999999"/>
              </w:divBdr>
              <w:divsChild>
                <w:div w:id="1394615">
                  <w:marLeft w:val="0"/>
                  <w:marRight w:val="0"/>
                  <w:marTop w:val="0"/>
                  <w:marBottom w:val="0"/>
                  <w:divBdr>
                    <w:top w:val="none" w:sz="0" w:space="0" w:color="auto"/>
                    <w:left w:val="none" w:sz="0" w:space="0" w:color="auto"/>
                    <w:bottom w:val="none" w:sz="0" w:space="0" w:color="auto"/>
                    <w:right w:val="none" w:sz="0" w:space="0" w:color="auto"/>
                  </w:divBdr>
                  <w:divsChild>
                    <w:div w:id="1288127226">
                      <w:marLeft w:val="0"/>
                      <w:marRight w:val="0"/>
                      <w:marTop w:val="0"/>
                      <w:marBottom w:val="0"/>
                      <w:divBdr>
                        <w:top w:val="none" w:sz="0" w:space="0" w:color="auto"/>
                        <w:left w:val="none" w:sz="0" w:space="0" w:color="auto"/>
                        <w:bottom w:val="none" w:sz="0" w:space="0" w:color="auto"/>
                        <w:right w:val="none" w:sz="0" w:space="0" w:color="auto"/>
                      </w:divBdr>
                      <w:divsChild>
                        <w:div w:id="522282433">
                          <w:marLeft w:val="15"/>
                          <w:marRight w:val="15"/>
                          <w:marTop w:val="15"/>
                          <w:marBottom w:val="15"/>
                          <w:divBdr>
                            <w:top w:val="none" w:sz="0" w:space="0" w:color="auto"/>
                            <w:left w:val="none" w:sz="0" w:space="0" w:color="auto"/>
                            <w:bottom w:val="none" w:sz="0" w:space="0" w:color="auto"/>
                            <w:right w:val="none" w:sz="0" w:space="0" w:color="auto"/>
                          </w:divBdr>
                          <w:divsChild>
                            <w:div w:id="19259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555719">
      <w:bodyDiv w:val="1"/>
      <w:marLeft w:val="0"/>
      <w:marRight w:val="0"/>
      <w:marTop w:val="0"/>
      <w:marBottom w:val="0"/>
      <w:divBdr>
        <w:top w:val="none" w:sz="0" w:space="0" w:color="auto"/>
        <w:left w:val="none" w:sz="0" w:space="0" w:color="auto"/>
        <w:bottom w:val="none" w:sz="0" w:space="0" w:color="auto"/>
        <w:right w:val="none" w:sz="0" w:space="0" w:color="auto"/>
      </w:divBdr>
      <w:divsChild>
        <w:div w:id="1205677193">
          <w:marLeft w:val="0"/>
          <w:marRight w:val="0"/>
          <w:marTop w:val="0"/>
          <w:marBottom w:val="0"/>
          <w:divBdr>
            <w:top w:val="none" w:sz="0" w:space="0" w:color="auto"/>
            <w:left w:val="none" w:sz="0" w:space="0" w:color="auto"/>
            <w:bottom w:val="none" w:sz="0" w:space="0" w:color="auto"/>
            <w:right w:val="none" w:sz="0" w:space="0" w:color="auto"/>
          </w:divBdr>
          <w:divsChild>
            <w:div w:id="88233865">
              <w:marLeft w:val="0"/>
              <w:marRight w:val="0"/>
              <w:marTop w:val="0"/>
              <w:marBottom w:val="0"/>
              <w:divBdr>
                <w:top w:val="none" w:sz="0" w:space="0" w:color="auto"/>
                <w:left w:val="none" w:sz="0" w:space="0" w:color="auto"/>
                <w:bottom w:val="none" w:sz="0" w:space="0" w:color="auto"/>
                <w:right w:val="none" w:sz="0" w:space="0" w:color="auto"/>
              </w:divBdr>
              <w:divsChild>
                <w:div w:id="1127089476">
                  <w:marLeft w:val="0"/>
                  <w:marRight w:val="0"/>
                  <w:marTop w:val="0"/>
                  <w:marBottom w:val="0"/>
                  <w:divBdr>
                    <w:top w:val="none" w:sz="0" w:space="0" w:color="auto"/>
                    <w:left w:val="none" w:sz="0" w:space="0" w:color="auto"/>
                    <w:bottom w:val="none" w:sz="0" w:space="0" w:color="auto"/>
                    <w:right w:val="none" w:sz="0" w:space="0" w:color="auto"/>
                  </w:divBdr>
                  <w:divsChild>
                    <w:div w:id="1932885783">
                      <w:marLeft w:val="0"/>
                      <w:marRight w:val="0"/>
                      <w:marTop w:val="0"/>
                      <w:marBottom w:val="0"/>
                      <w:divBdr>
                        <w:top w:val="none" w:sz="0" w:space="0" w:color="auto"/>
                        <w:left w:val="none" w:sz="0" w:space="0" w:color="auto"/>
                        <w:bottom w:val="none" w:sz="0" w:space="0" w:color="auto"/>
                        <w:right w:val="none" w:sz="0" w:space="0" w:color="auto"/>
                      </w:divBdr>
                      <w:divsChild>
                        <w:div w:id="1024332644">
                          <w:marLeft w:val="0"/>
                          <w:marRight w:val="0"/>
                          <w:marTop w:val="315"/>
                          <w:marBottom w:val="0"/>
                          <w:divBdr>
                            <w:top w:val="none" w:sz="0" w:space="0" w:color="auto"/>
                            <w:left w:val="none" w:sz="0" w:space="0" w:color="auto"/>
                            <w:bottom w:val="none" w:sz="0" w:space="0" w:color="auto"/>
                            <w:right w:val="none" w:sz="0" w:space="0" w:color="auto"/>
                          </w:divBdr>
                          <w:divsChild>
                            <w:div w:id="2129354126">
                              <w:marLeft w:val="1980"/>
                              <w:marRight w:val="3810"/>
                              <w:marTop w:val="0"/>
                              <w:marBottom w:val="0"/>
                              <w:divBdr>
                                <w:top w:val="none" w:sz="0" w:space="0" w:color="auto"/>
                                <w:left w:val="none" w:sz="0" w:space="0" w:color="auto"/>
                                <w:bottom w:val="none" w:sz="0" w:space="0" w:color="auto"/>
                                <w:right w:val="none" w:sz="0" w:space="0" w:color="auto"/>
                              </w:divBdr>
                              <w:divsChild>
                                <w:div w:id="1692996863">
                                  <w:marLeft w:val="0"/>
                                  <w:marRight w:val="0"/>
                                  <w:marTop w:val="0"/>
                                  <w:marBottom w:val="0"/>
                                  <w:divBdr>
                                    <w:top w:val="none" w:sz="0" w:space="0" w:color="auto"/>
                                    <w:left w:val="none" w:sz="0" w:space="0" w:color="auto"/>
                                    <w:bottom w:val="none" w:sz="0" w:space="0" w:color="auto"/>
                                    <w:right w:val="none" w:sz="0" w:space="0" w:color="auto"/>
                                  </w:divBdr>
                                  <w:divsChild>
                                    <w:div w:id="323583868">
                                      <w:marLeft w:val="0"/>
                                      <w:marRight w:val="0"/>
                                      <w:marTop w:val="0"/>
                                      <w:marBottom w:val="0"/>
                                      <w:divBdr>
                                        <w:top w:val="none" w:sz="0" w:space="0" w:color="auto"/>
                                        <w:left w:val="none" w:sz="0" w:space="0" w:color="auto"/>
                                        <w:bottom w:val="none" w:sz="0" w:space="0" w:color="auto"/>
                                        <w:right w:val="none" w:sz="0" w:space="0" w:color="auto"/>
                                      </w:divBdr>
                                      <w:divsChild>
                                        <w:div w:id="553782807">
                                          <w:marLeft w:val="0"/>
                                          <w:marRight w:val="0"/>
                                          <w:marTop w:val="0"/>
                                          <w:marBottom w:val="0"/>
                                          <w:divBdr>
                                            <w:top w:val="none" w:sz="0" w:space="0" w:color="auto"/>
                                            <w:left w:val="none" w:sz="0" w:space="0" w:color="auto"/>
                                            <w:bottom w:val="none" w:sz="0" w:space="0" w:color="auto"/>
                                            <w:right w:val="none" w:sz="0" w:space="0" w:color="auto"/>
                                          </w:divBdr>
                                          <w:divsChild>
                                            <w:div w:id="2133011023">
                                              <w:marLeft w:val="0"/>
                                              <w:marRight w:val="0"/>
                                              <w:marTop w:val="0"/>
                                              <w:marBottom w:val="0"/>
                                              <w:divBdr>
                                                <w:top w:val="none" w:sz="0" w:space="0" w:color="auto"/>
                                                <w:left w:val="none" w:sz="0" w:space="0" w:color="auto"/>
                                                <w:bottom w:val="none" w:sz="0" w:space="0" w:color="auto"/>
                                                <w:right w:val="none" w:sz="0" w:space="0" w:color="auto"/>
                                              </w:divBdr>
                                              <w:divsChild>
                                                <w:div w:id="1283027842">
                                                  <w:marLeft w:val="0"/>
                                                  <w:marRight w:val="0"/>
                                                  <w:marTop w:val="0"/>
                                                  <w:marBottom w:val="0"/>
                                                  <w:divBdr>
                                                    <w:top w:val="none" w:sz="0" w:space="0" w:color="auto"/>
                                                    <w:left w:val="none" w:sz="0" w:space="0" w:color="auto"/>
                                                    <w:bottom w:val="none" w:sz="0" w:space="0" w:color="auto"/>
                                                    <w:right w:val="none" w:sz="0" w:space="0" w:color="auto"/>
                                                  </w:divBdr>
                                                  <w:divsChild>
                                                    <w:div w:id="4079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85636">
      <w:bodyDiv w:val="1"/>
      <w:marLeft w:val="0"/>
      <w:marRight w:val="0"/>
      <w:marTop w:val="0"/>
      <w:marBottom w:val="0"/>
      <w:divBdr>
        <w:top w:val="none" w:sz="0" w:space="0" w:color="auto"/>
        <w:left w:val="none" w:sz="0" w:space="0" w:color="auto"/>
        <w:bottom w:val="none" w:sz="0" w:space="0" w:color="auto"/>
        <w:right w:val="none" w:sz="0" w:space="0" w:color="auto"/>
      </w:divBdr>
    </w:div>
    <w:div w:id="768937671">
      <w:bodyDiv w:val="1"/>
      <w:marLeft w:val="0"/>
      <w:marRight w:val="0"/>
      <w:marTop w:val="0"/>
      <w:marBottom w:val="0"/>
      <w:divBdr>
        <w:top w:val="none" w:sz="0" w:space="0" w:color="auto"/>
        <w:left w:val="none" w:sz="0" w:space="0" w:color="auto"/>
        <w:bottom w:val="none" w:sz="0" w:space="0" w:color="auto"/>
        <w:right w:val="none" w:sz="0" w:space="0" w:color="auto"/>
      </w:divBdr>
      <w:divsChild>
        <w:div w:id="312297612">
          <w:marLeft w:val="0"/>
          <w:marRight w:val="0"/>
          <w:marTop w:val="0"/>
          <w:marBottom w:val="0"/>
          <w:divBdr>
            <w:top w:val="none" w:sz="0" w:space="0" w:color="auto"/>
            <w:left w:val="none" w:sz="0" w:space="0" w:color="auto"/>
            <w:bottom w:val="none" w:sz="0" w:space="0" w:color="auto"/>
            <w:right w:val="none" w:sz="0" w:space="0" w:color="auto"/>
          </w:divBdr>
          <w:divsChild>
            <w:div w:id="854998805">
              <w:marLeft w:val="0"/>
              <w:marRight w:val="0"/>
              <w:marTop w:val="0"/>
              <w:marBottom w:val="0"/>
              <w:divBdr>
                <w:top w:val="none" w:sz="0" w:space="0" w:color="auto"/>
                <w:left w:val="none" w:sz="0" w:space="0" w:color="auto"/>
                <w:bottom w:val="none" w:sz="0" w:space="0" w:color="auto"/>
                <w:right w:val="none" w:sz="0" w:space="0" w:color="auto"/>
              </w:divBdr>
              <w:divsChild>
                <w:div w:id="456458965">
                  <w:marLeft w:val="0"/>
                  <w:marRight w:val="0"/>
                  <w:marTop w:val="0"/>
                  <w:marBottom w:val="0"/>
                  <w:divBdr>
                    <w:top w:val="none" w:sz="0" w:space="0" w:color="auto"/>
                    <w:left w:val="none" w:sz="0" w:space="0" w:color="auto"/>
                    <w:bottom w:val="none" w:sz="0" w:space="0" w:color="auto"/>
                    <w:right w:val="none" w:sz="0" w:space="0" w:color="auto"/>
                  </w:divBdr>
                  <w:divsChild>
                    <w:div w:id="21049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7602">
      <w:bodyDiv w:val="1"/>
      <w:marLeft w:val="0"/>
      <w:marRight w:val="0"/>
      <w:marTop w:val="0"/>
      <w:marBottom w:val="0"/>
      <w:divBdr>
        <w:top w:val="none" w:sz="0" w:space="0" w:color="auto"/>
        <w:left w:val="none" w:sz="0" w:space="0" w:color="auto"/>
        <w:bottom w:val="none" w:sz="0" w:space="0" w:color="auto"/>
        <w:right w:val="none" w:sz="0" w:space="0" w:color="auto"/>
      </w:divBdr>
    </w:div>
    <w:div w:id="886988993">
      <w:bodyDiv w:val="1"/>
      <w:marLeft w:val="0"/>
      <w:marRight w:val="0"/>
      <w:marTop w:val="0"/>
      <w:marBottom w:val="0"/>
      <w:divBdr>
        <w:top w:val="none" w:sz="0" w:space="0" w:color="auto"/>
        <w:left w:val="none" w:sz="0" w:space="0" w:color="auto"/>
        <w:bottom w:val="none" w:sz="0" w:space="0" w:color="auto"/>
        <w:right w:val="none" w:sz="0" w:space="0" w:color="auto"/>
      </w:divBdr>
      <w:divsChild>
        <w:div w:id="1104032142">
          <w:marLeft w:val="0"/>
          <w:marRight w:val="0"/>
          <w:marTop w:val="0"/>
          <w:marBottom w:val="0"/>
          <w:divBdr>
            <w:top w:val="none" w:sz="0" w:space="0" w:color="auto"/>
            <w:left w:val="none" w:sz="0" w:space="0" w:color="auto"/>
            <w:bottom w:val="none" w:sz="0" w:space="0" w:color="auto"/>
            <w:right w:val="none" w:sz="0" w:space="0" w:color="auto"/>
          </w:divBdr>
          <w:divsChild>
            <w:div w:id="1432238429">
              <w:marLeft w:val="0"/>
              <w:marRight w:val="0"/>
              <w:marTop w:val="0"/>
              <w:marBottom w:val="0"/>
              <w:divBdr>
                <w:top w:val="none" w:sz="0" w:space="0" w:color="auto"/>
                <w:left w:val="none" w:sz="0" w:space="0" w:color="auto"/>
                <w:bottom w:val="none" w:sz="0" w:space="0" w:color="auto"/>
                <w:right w:val="none" w:sz="0" w:space="0" w:color="auto"/>
              </w:divBdr>
              <w:divsChild>
                <w:div w:id="619148125">
                  <w:marLeft w:val="0"/>
                  <w:marRight w:val="0"/>
                  <w:marTop w:val="0"/>
                  <w:marBottom w:val="0"/>
                  <w:divBdr>
                    <w:top w:val="none" w:sz="0" w:space="0" w:color="auto"/>
                    <w:left w:val="none" w:sz="0" w:space="0" w:color="auto"/>
                    <w:bottom w:val="none" w:sz="0" w:space="0" w:color="auto"/>
                    <w:right w:val="none" w:sz="0" w:space="0" w:color="auto"/>
                  </w:divBdr>
                  <w:divsChild>
                    <w:div w:id="2118912155">
                      <w:marLeft w:val="0"/>
                      <w:marRight w:val="0"/>
                      <w:marTop w:val="0"/>
                      <w:marBottom w:val="0"/>
                      <w:divBdr>
                        <w:top w:val="none" w:sz="0" w:space="0" w:color="auto"/>
                        <w:left w:val="none" w:sz="0" w:space="0" w:color="auto"/>
                        <w:bottom w:val="none" w:sz="0" w:space="0" w:color="auto"/>
                        <w:right w:val="none" w:sz="0" w:space="0" w:color="auto"/>
                      </w:divBdr>
                      <w:divsChild>
                        <w:div w:id="1500072615">
                          <w:marLeft w:val="180"/>
                          <w:marRight w:val="0"/>
                          <w:marTop w:val="0"/>
                          <w:marBottom w:val="0"/>
                          <w:divBdr>
                            <w:top w:val="none" w:sz="0" w:space="0" w:color="auto"/>
                            <w:left w:val="none" w:sz="0" w:space="0" w:color="auto"/>
                            <w:bottom w:val="none" w:sz="0" w:space="0" w:color="auto"/>
                            <w:right w:val="none" w:sz="0" w:space="0" w:color="auto"/>
                          </w:divBdr>
                          <w:divsChild>
                            <w:div w:id="993030661">
                              <w:marLeft w:val="0"/>
                              <w:marRight w:val="0"/>
                              <w:marTop w:val="0"/>
                              <w:marBottom w:val="0"/>
                              <w:divBdr>
                                <w:top w:val="none" w:sz="0" w:space="0" w:color="auto"/>
                                <w:left w:val="none" w:sz="0" w:space="0" w:color="auto"/>
                                <w:bottom w:val="none" w:sz="0" w:space="0" w:color="auto"/>
                                <w:right w:val="none" w:sz="0" w:space="0" w:color="auto"/>
                              </w:divBdr>
                              <w:divsChild>
                                <w:div w:id="1673407516">
                                  <w:marLeft w:val="45"/>
                                  <w:marRight w:val="60"/>
                                  <w:marTop w:val="30"/>
                                  <w:marBottom w:val="15"/>
                                  <w:divBdr>
                                    <w:top w:val="none" w:sz="0" w:space="0" w:color="auto"/>
                                    <w:left w:val="none" w:sz="0" w:space="0" w:color="auto"/>
                                    <w:bottom w:val="none" w:sz="0" w:space="0" w:color="auto"/>
                                    <w:right w:val="none" w:sz="0" w:space="0" w:color="auto"/>
                                  </w:divBdr>
                                </w:div>
                                <w:div w:id="2044789082">
                                  <w:marLeft w:val="0"/>
                                  <w:marRight w:val="0"/>
                                  <w:marTop w:val="15"/>
                                  <w:marBottom w:val="0"/>
                                  <w:divBdr>
                                    <w:top w:val="none" w:sz="0" w:space="0" w:color="auto"/>
                                    <w:left w:val="none" w:sz="0" w:space="0" w:color="auto"/>
                                    <w:bottom w:val="none" w:sz="0" w:space="0" w:color="auto"/>
                                    <w:right w:val="none" w:sz="0" w:space="0" w:color="auto"/>
                                  </w:divBdr>
                                  <w:divsChild>
                                    <w:div w:id="10807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345721">
      <w:bodyDiv w:val="1"/>
      <w:marLeft w:val="0"/>
      <w:marRight w:val="0"/>
      <w:marTop w:val="0"/>
      <w:marBottom w:val="0"/>
      <w:divBdr>
        <w:top w:val="none" w:sz="0" w:space="0" w:color="auto"/>
        <w:left w:val="none" w:sz="0" w:space="0" w:color="auto"/>
        <w:bottom w:val="none" w:sz="0" w:space="0" w:color="auto"/>
        <w:right w:val="none" w:sz="0" w:space="0" w:color="auto"/>
      </w:divBdr>
      <w:divsChild>
        <w:div w:id="1236207308">
          <w:marLeft w:val="0"/>
          <w:marRight w:val="0"/>
          <w:marTop w:val="0"/>
          <w:marBottom w:val="0"/>
          <w:divBdr>
            <w:top w:val="none" w:sz="0" w:space="0" w:color="auto"/>
            <w:left w:val="none" w:sz="0" w:space="0" w:color="auto"/>
            <w:bottom w:val="none" w:sz="0" w:space="0" w:color="auto"/>
            <w:right w:val="none" w:sz="0" w:space="0" w:color="auto"/>
          </w:divBdr>
          <w:divsChild>
            <w:div w:id="323164661">
              <w:marLeft w:val="0"/>
              <w:marRight w:val="0"/>
              <w:marTop w:val="0"/>
              <w:marBottom w:val="0"/>
              <w:divBdr>
                <w:top w:val="none" w:sz="0" w:space="0" w:color="auto"/>
                <w:left w:val="none" w:sz="0" w:space="0" w:color="auto"/>
                <w:bottom w:val="none" w:sz="0" w:space="0" w:color="auto"/>
                <w:right w:val="none" w:sz="0" w:space="0" w:color="auto"/>
              </w:divBdr>
              <w:divsChild>
                <w:div w:id="516503096">
                  <w:marLeft w:val="0"/>
                  <w:marRight w:val="0"/>
                  <w:marTop w:val="225"/>
                  <w:marBottom w:val="0"/>
                  <w:divBdr>
                    <w:top w:val="single" w:sz="48" w:space="0" w:color="F7FBFE"/>
                    <w:left w:val="single" w:sz="48" w:space="0" w:color="F7FBFE"/>
                    <w:bottom w:val="single" w:sz="48" w:space="0" w:color="F7FBFE"/>
                    <w:right w:val="single" w:sz="48" w:space="0" w:color="F7FBFE"/>
                  </w:divBdr>
                  <w:divsChild>
                    <w:div w:id="2050490375">
                      <w:marLeft w:val="0"/>
                      <w:marRight w:val="0"/>
                      <w:marTop w:val="0"/>
                      <w:marBottom w:val="0"/>
                      <w:divBdr>
                        <w:top w:val="none" w:sz="0" w:space="0" w:color="auto"/>
                        <w:left w:val="none" w:sz="0" w:space="0" w:color="auto"/>
                        <w:bottom w:val="none" w:sz="0" w:space="0" w:color="auto"/>
                        <w:right w:val="none" w:sz="0" w:space="0" w:color="auto"/>
                      </w:divBdr>
                      <w:divsChild>
                        <w:div w:id="259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94369">
      <w:bodyDiv w:val="1"/>
      <w:marLeft w:val="0"/>
      <w:marRight w:val="0"/>
      <w:marTop w:val="0"/>
      <w:marBottom w:val="0"/>
      <w:divBdr>
        <w:top w:val="none" w:sz="0" w:space="0" w:color="auto"/>
        <w:left w:val="none" w:sz="0" w:space="0" w:color="auto"/>
        <w:bottom w:val="none" w:sz="0" w:space="0" w:color="auto"/>
        <w:right w:val="none" w:sz="0" w:space="0" w:color="auto"/>
      </w:divBdr>
      <w:divsChild>
        <w:div w:id="1228496630">
          <w:marLeft w:val="0"/>
          <w:marRight w:val="0"/>
          <w:marTop w:val="0"/>
          <w:marBottom w:val="0"/>
          <w:divBdr>
            <w:top w:val="none" w:sz="0" w:space="0" w:color="auto"/>
            <w:left w:val="none" w:sz="0" w:space="0" w:color="auto"/>
            <w:bottom w:val="none" w:sz="0" w:space="0" w:color="auto"/>
            <w:right w:val="none" w:sz="0" w:space="0" w:color="auto"/>
          </w:divBdr>
          <w:divsChild>
            <w:div w:id="1675179377">
              <w:marLeft w:val="0"/>
              <w:marRight w:val="0"/>
              <w:marTop w:val="0"/>
              <w:marBottom w:val="0"/>
              <w:divBdr>
                <w:top w:val="none" w:sz="0" w:space="0" w:color="auto"/>
                <w:left w:val="none" w:sz="0" w:space="0" w:color="auto"/>
                <w:bottom w:val="none" w:sz="0" w:space="0" w:color="auto"/>
                <w:right w:val="none" w:sz="0" w:space="0" w:color="auto"/>
              </w:divBdr>
              <w:divsChild>
                <w:div w:id="1794900921">
                  <w:marLeft w:val="0"/>
                  <w:marRight w:val="0"/>
                  <w:marTop w:val="0"/>
                  <w:marBottom w:val="0"/>
                  <w:divBdr>
                    <w:top w:val="none" w:sz="0" w:space="0" w:color="auto"/>
                    <w:left w:val="none" w:sz="0" w:space="0" w:color="auto"/>
                    <w:bottom w:val="none" w:sz="0" w:space="0" w:color="auto"/>
                    <w:right w:val="none" w:sz="0" w:space="0" w:color="auto"/>
                  </w:divBdr>
                  <w:divsChild>
                    <w:div w:id="1680958937">
                      <w:marLeft w:val="0"/>
                      <w:marRight w:val="0"/>
                      <w:marTop w:val="0"/>
                      <w:marBottom w:val="0"/>
                      <w:divBdr>
                        <w:top w:val="none" w:sz="0" w:space="0" w:color="auto"/>
                        <w:left w:val="none" w:sz="0" w:space="0" w:color="auto"/>
                        <w:bottom w:val="none" w:sz="0" w:space="0" w:color="auto"/>
                        <w:right w:val="none" w:sz="0" w:space="0" w:color="auto"/>
                      </w:divBdr>
                      <w:divsChild>
                        <w:div w:id="1345857852">
                          <w:marLeft w:val="0"/>
                          <w:marRight w:val="0"/>
                          <w:marTop w:val="0"/>
                          <w:marBottom w:val="0"/>
                          <w:divBdr>
                            <w:top w:val="none" w:sz="0" w:space="0" w:color="auto"/>
                            <w:left w:val="none" w:sz="0" w:space="0" w:color="auto"/>
                            <w:bottom w:val="none" w:sz="0" w:space="0" w:color="auto"/>
                            <w:right w:val="none" w:sz="0" w:space="0" w:color="auto"/>
                          </w:divBdr>
                          <w:divsChild>
                            <w:div w:id="410394378">
                              <w:marLeft w:val="0"/>
                              <w:marRight w:val="0"/>
                              <w:marTop w:val="0"/>
                              <w:marBottom w:val="0"/>
                              <w:divBdr>
                                <w:top w:val="none" w:sz="0" w:space="0" w:color="auto"/>
                                <w:left w:val="none" w:sz="0" w:space="0" w:color="auto"/>
                                <w:bottom w:val="none" w:sz="0" w:space="0" w:color="auto"/>
                                <w:right w:val="none" w:sz="0" w:space="0" w:color="auto"/>
                              </w:divBdr>
                              <w:divsChild>
                                <w:div w:id="874465969">
                                  <w:marLeft w:val="0"/>
                                  <w:marRight w:val="0"/>
                                  <w:marTop w:val="0"/>
                                  <w:marBottom w:val="0"/>
                                  <w:divBdr>
                                    <w:top w:val="none" w:sz="0" w:space="0" w:color="auto"/>
                                    <w:left w:val="none" w:sz="0" w:space="0" w:color="auto"/>
                                    <w:bottom w:val="none" w:sz="0" w:space="0" w:color="auto"/>
                                    <w:right w:val="none" w:sz="0" w:space="0" w:color="auto"/>
                                  </w:divBdr>
                                  <w:divsChild>
                                    <w:div w:id="421610409">
                                      <w:marLeft w:val="0"/>
                                      <w:marRight w:val="0"/>
                                      <w:marTop w:val="0"/>
                                      <w:marBottom w:val="0"/>
                                      <w:divBdr>
                                        <w:top w:val="none" w:sz="0" w:space="0" w:color="auto"/>
                                        <w:left w:val="none" w:sz="0" w:space="0" w:color="auto"/>
                                        <w:bottom w:val="none" w:sz="0" w:space="0" w:color="auto"/>
                                        <w:right w:val="none" w:sz="0" w:space="0" w:color="auto"/>
                                      </w:divBdr>
                                      <w:divsChild>
                                        <w:div w:id="5807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836584">
      <w:bodyDiv w:val="1"/>
      <w:marLeft w:val="0"/>
      <w:marRight w:val="0"/>
      <w:marTop w:val="0"/>
      <w:marBottom w:val="0"/>
      <w:divBdr>
        <w:top w:val="none" w:sz="0" w:space="0" w:color="auto"/>
        <w:left w:val="none" w:sz="0" w:space="0" w:color="auto"/>
        <w:bottom w:val="none" w:sz="0" w:space="0" w:color="auto"/>
        <w:right w:val="none" w:sz="0" w:space="0" w:color="auto"/>
      </w:divBdr>
      <w:divsChild>
        <w:div w:id="1749039873">
          <w:marLeft w:val="0"/>
          <w:marRight w:val="0"/>
          <w:marTop w:val="0"/>
          <w:marBottom w:val="0"/>
          <w:divBdr>
            <w:top w:val="none" w:sz="0" w:space="0" w:color="auto"/>
            <w:left w:val="none" w:sz="0" w:space="0" w:color="auto"/>
            <w:bottom w:val="none" w:sz="0" w:space="0" w:color="auto"/>
            <w:right w:val="none" w:sz="0" w:space="0" w:color="auto"/>
          </w:divBdr>
          <w:divsChild>
            <w:div w:id="2130471769">
              <w:marLeft w:val="0"/>
              <w:marRight w:val="0"/>
              <w:marTop w:val="0"/>
              <w:marBottom w:val="0"/>
              <w:divBdr>
                <w:top w:val="none" w:sz="0" w:space="0" w:color="auto"/>
                <w:left w:val="none" w:sz="0" w:space="0" w:color="auto"/>
                <w:bottom w:val="none" w:sz="0" w:space="0" w:color="auto"/>
                <w:right w:val="none" w:sz="0" w:space="0" w:color="auto"/>
              </w:divBdr>
              <w:divsChild>
                <w:div w:id="1217814041">
                  <w:marLeft w:val="0"/>
                  <w:marRight w:val="0"/>
                  <w:marTop w:val="0"/>
                  <w:marBottom w:val="0"/>
                  <w:divBdr>
                    <w:top w:val="none" w:sz="0" w:space="0" w:color="auto"/>
                    <w:left w:val="none" w:sz="0" w:space="0" w:color="auto"/>
                    <w:bottom w:val="none" w:sz="0" w:space="0" w:color="auto"/>
                    <w:right w:val="none" w:sz="0" w:space="0" w:color="auto"/>
                  </w:divBdr>
                  <w:divsChild>
                    <w:div w:id="1890337999">
                      <w:marLeft w:val="0"/>
                      <w:marRight w:val="0"/>
                      <w:marTop w:val="0"/>
                      <w:marBottom w:val="0"/>
                      <w:divBdr>
                        <w:top w:val="none" w:sz="0" w:space="0" w:color="auto"/>
                        <w:left w:val="none" w:sz="0" w:space="0" w:color="auto"/>
                        <w:bottom w:val="none" w:sz="0" w:space="0" w:color="auto"/>
                        <w:right w:val="none" w:sz="0" w:space="0" w:color="auto"/>
                      </w:divBdr>
                      <w:divsChild>
                        <w:div w:id="1470977770">
                          <w:marLeft w:val="0"/>
                          <w:marRight w:val="0"/>
                          <w:marTop w:val="0"/>
                          <w:marBottom w:val="0"/>
                          <w:divBdr>
                            <w:top w:val="none" w:sz="0" w:space="0" w:color="auto"/>
                            <w:left w:val="none" w:sz="0" w:space="0" w:color="auto"/>
                            <w:bottom w:val="none" w:sz="0" w:space="0" w:color="auto"/>
                            <w:right w:val="none" w:sz="0" w:space="0" w:color="auto"/>
                          </w:divBdr>
                          <w:divsChild>
                            <w:div w:id="14342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16643">
      <w:bodyDiv w:val="1"/>
      <w:marLeft w:val="0"/>
      <w:marRight w:val="0"/>
      <w:marTop w:val="0"/>
      <w:marBottom w:val="0"/>
      <w:divBdr>
        <w:top w:val="none" w:sz="0" w:space="0" w:color="auto"/>
        <w:left w:val="none" w:sz="0" w:space="0" w:color="auto"/>
        <w:bottom w:val="none" w:sz="0" w:space="0" w:color="auto"/>
        <w:right w:val="none" w:sz="0" w:space="0" w:color="auto"/>
      </w:divBdr>
      <w:divsChild>
        <w:div w:id="1368217194">
          <w:marLeft w:val="0"/>
          <w:marRight w:val="0"/>
          <w:marTop w:val="100"/>
          <w:marBottom w:val="100"/>
          <w:divBdr>
            <w:top w:val="none" w:sz="0" w:space="0" w:color="auto"/>
            <w:left w:val="none" w:sz="0" w:space="0" w:color="auto"/>
            <w:bottom w:val="none" w:sz="0" w:space="0" w:color="auto"/>
            <w:right w:val="none" w:sz="0" w:space="0" w:color="auto"/>
          </w:divBdr>
          <w:divsChild>
            <w:div w:id="1683586155">
              <w:marLeft w:val="0"/>
              <w:marRight w:val="0"/>
              <w:marTop w:val="0"/>
              <w:marBottom w:val="0"/>
              <w:divBdr>
                <w:top w:val="none" w:sz="0" w:space="0" w:color="auto"/>
                <w:left w:val="none" w:sz="0" w:space="0" w:color="auto"/>
                <w:bottom w:val="none" w:sz="0" w:space="0" w:color="auto"/>
                <w:right w:val="none" w:sz="0" w:space="0" w:color="auto"/>
              </w:divBdr>
              <w:divsChild>
                <w:div w:id="935869727">
                  <w:marLeft w:val="0"/>
                  <w:marRight w:val="0"/>
                  <w:marTop w:val="0"/>
                  <w:marBottom w:val="0"/>
                  <w:divBdr>
                    <w:top w:val="none" w:sz="0" w:space="0" w:color="auto"/>
                    <w:left w:val="none" w:sz="0" w:space="0" w:color="auto"/>
                    <w:bottom w:val="none" w:sz="0" w:space="0" w:color="auto"/>
                    <w:right w:val="none" w:sz="0" w:space="0" w:color="auto"/>
                  </w:divBdr>
                  <w:divsChild>
                    <w:div w:id="1107232470">
                      <w:marLeft w:val="0"/>
                      <w:marRight w:val="0"/>
                      <w:marTop w:val="0"/>
                      <w:marBottom w:val="0"/>
                      <w:divBdr>
                        <w:top w:val="none" w:sz="0" w:space="0" w:color="auto"/>
                        <w:left w:val="none" w:sz="0" w:space="0" w:color="auto"/>
                        <w:bottom w:val="none" w:sz="0" w:space="0" w:color="auto"/>
                        <w:right w:val="none" w:sz="0" w:space="0" w:color="auto"/>
                      </w:divBdr>
                      <w:divsChild>
                        <w:div w:id="322046471">
                          <w:marLeft w:val="0"/>
                          <w:marRight w:val="0"/>
                          <w:marTop w:val="0"/>
                          <w:marBottom w:val="300"/>
                          <w:divBdr>
                            <w:top w:val="none" w:sz="0" w:space="0" w:color="auto"/>
                            <w:left w:val="none" w:sz="0" w:space="0" w:color="auto"/>
                            <w:bottom w:val="none" w:sz="0" w:space="0" w:color="auto"/>
                            <w:right w:val="none" w:sz="0" w:space="0" w:color="auto"/>
                          </w:divBdr>
                          <w:divsChild>
                            <w:div w:id="925967450">
                              <w:marLeft w:val="0"/>
                              <w:marRight w:val="0"/>
                              <w:marTop w:val="0"/>
                              <w:marBottom w:val="0"/>
                              <w:divBdr>
                                <w:top w:val="none" w:sz="0" w:space="0" w:color="auto"/>
                                <w:left w:val="none" w:sz="0" w:space="0" w:color="auto"/>
                                <w:bottom w:val="none" w:sz="0" w:space="0" w:color="auto"/>
                                <w:right w:val="none" w:sz="0" w:space="0" w:color="auto"/>
                              </w:divBdr>
                              <w:divsChild>
                                <w:div w:id="14993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87153">
      <w:bodyDiv w:val="1"/>
      <w:marLeft w:val="0"/>
      <w:marRight w:val="0"/>
      <w:marTop w:val="0"/>
      <w:marBottom w:val="0"/>
      <w:divBdr>
        <w:top w:val="none" w:sz="0" w:space="0" w:color="auto"/>
        <w:left w:val="none" w:sz="0" w:space="0" w:color="auto"/>
        <w:bottom w:val="none" w:sz="0" w:space="0" w:color="auto"/>
        <w:right w:val="none" w:sz="0" w:space="0" w:color="auto"/>
      </w:divBdr>
      <w:divsChild>
        <w:div w:id="1733113058">
          <w:marLeft w:val="0"/>
          <w:marRight w:val="0"/>
          <w:marTop w:val="0"/>
          <w:marBottom w:val="0"/>
          <w:divBdr>
            <w:top w:val="none" w:sz="0" w:space="0" w:color="auto"/>
            <w:left w:val="none" w:sz="0" w:space="0" w:color="auto"/>
            <w:bottom w:val="none" w:sz="0" w:space="0" w:color="auto"/>
            <w:right w:val="none" w:sz="0" w:space="0" w:color="auto"/>
          </w:divBdr>
          <w:divsChild>
            <w:div w:id="1983534178">
              <w:marLeft w:val="0"/>
              <w:marRight w:val="0"/>
              <w:marTop w:val="0"/>
              <w:marBottom w:val="0"/>
              <w:divBdr>
                <w:top w:val="none" w:sz="0" w:space="0" w:color="auto"/>
                <w:left w:val="none" w:sz="0" w:space="0" w:color="auto"/>
                <w:bottom w:val="none" w:sz="0" w:space="0" w:color="auto"/>
                <w:right w:val="none" w:sz="0" w:space="0" w:color="auto"/>
              </w:divBdr>
              <w:divsChild>
                <w:div w:id="1613130712">
                  <w:marLeft w:val="0"/>
                  <w:marRight w:val="0"/>
                  <w:marTop w:val="0"/>
                  <w:marBottom w:val="0"/>
                  <w:divBdr>
                    <w:top w:val="none" w:sz="0" w:space="0" w:color="auto"/>
                    <w:left w:val="none" w:sz="0" w:space="0" w:color="auto"/>
                    <w:bottom w:val="none" w:sz="0" w:space="0" w:color="auto"/>
                    <w:right w:val="none" w:sz="0" w:space="0" w:color="auto"/>
                  </w:divBdr>
                  <w:divsChild>
                    <w:div w:id="1532835626">
                      <w:marLeft w:val="0"/>
                      <w:marRight w:val="0"/>
                      <w:marTop w:val="0"/>
                      <w:marBottom w:val="0"/>
                      <w:divBdr>
                        <w:top w:val="none" w:sz="0" w:space="0" w:color="auto"/>
                        <w:left w:val="none" w:sz="0" w:space="0" w:color="auto"/>
                        <w:bottom w:val="none" w:sz="0" w:space="0" w:color="auto"/>
                        <w:right w:val="none" w:sz="0" w:space="0" w:color="auto"/>
                      </w:divBdr>
                      <w:divsChild>
                        <w:div w:id="572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00344">
      <w:bodyDiv w:val="1"/>
      <w:marLeft w:val="0"/>
      <w:marRight w:val="0"/>
      <w:marTop w:val="0"/>
      <w:marBottom w:val="0"/>
      <w:divBdr>
        <w:top w:val="none" w:sz="0" w:space="0" w:color="auto"/>
        <w:left w:val="none" w:sz="0" w:space="0" w:color="auto"/>
        <w:bottom w:val="none" w:sz="0" w:space="0" w:color="auto"/>
        <w:right w:val="none" w:sz="0" w:space="0" w:color="auto"/>
      </w:divBdr>
      <w:divsChild>
        <w:div w:id="491022458">
          <w:marLeft w:val="3000"/>
          <w:marRight w:val="0"/>
          <w:marTop w:val="0"/>
          <w:marBottom w:val="0"/>
          <w:divBdr>
            <w:top w:val="none" w:sz="0" w:space="0" w:color="auto"/>
            <w:left w:val="none" w:sz="0" w:space="0" w:color="auto"/>
            <w:bottom w:val="none" w:sz="0" w:space="0" w:color="auto"/>
            <w:right w:val="none" w:sz="0" w:space="0" w:color="auto"/>
          </w:divBdr>
        </w:div>
      </w:divsChild>
    </w:div>
    <w:div w:id="1233199329">
      <w:bodyDiv w:val="1"/>
      <w:marLeft w:val="0"/>
      <w:marRight w:val="0"/>
      <w:marTop w:val="0"/>
      <w:marBottom w:val="0"/>
      <w:divBdr>
        <w:top w:val="none" w:sz="0" w:space="0" w:color="auto"/>
        <w:left w:val="none" w:sz="0" w:space="0" w:color="auto"/>
        <w:bottom w:val="none" w:sz="0" w:space="0" w:color="auto"/>
        <w:right w:val="none" w:sz="0" w:space="0" w:color="auto"/>
      </w:divBdr>
      <w:divsChild>
        <w:div w:id="828250659">
          <w:marLeft w:val="0"/>
          <w:marRight w:val="0"/>
          <w:marTop w:val="0"/>
          <w:marBottom w:val="0"/>
          <w:divBdr>
            <w:top w:val="none" w:sz="0" w:space="0" w:color="auto"/>
            <w:left w:val="none" w:sz="0" w:space="0" w:color="auto"/>
            <w:bottom w:val="none" w:sz="0" w:space="0" w:color="auto"/>
            <w:right w:val="none" w:sz="0" w:space="0" w:color="auto"/>
          </w:divBdr>
          <w:divsChild>
            <w:div w:id="208805838">
              <w:marLeft w:val="0"/>
              <w:marRight w:val="0"/>
              <w:marTop w:val="0"/>
              <w:marBottom w:val="0"/>
              <w:divBdr>
                <w:top w:val="none" w:sz="0" w:space="0" w:color="auto"/>
                <w:left w:val="none" w:sz="0" w:space="0" w:color="auto"/>
                <w:bottom w:val="none" w:sz="0" w:space="0" w:color="auto"/>
                <w:right w:val="none" w:sz="0" w:space="0" w:color="auto"/>
              </w:divBdr>
              <w:divsChild>
                <w:div w:id="727731693">
                  <w:marLeft w:val="0"/>
                  <w:marRight w:val="0"/>
                  <w:marTop w:val="0"/>
                  <w:marBottom w:val="0"/>
                  <w:divBdr>
                    <w:top w:val="none" w:sz="0" w:space="0" w:color="auto"/>
                    <w:left w:val="none" w:sz="0" w:space="0" w:color="auto"/>
                    <w:bottom w:val="none" w:sz="0" w:space="0" w:color="auto"/>
                    <w:right w:val="none" w:sz="0" w:space="0" w:color="auto"/>
                  </w:divBdr>
                  <w:divsChild>
                    <w:div w:id="1507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3454">
      <w:bodyDiv w:val="1"/>
      <w:marLeft w:val="0"/>
      <w:marRight w:val="0"/>
      <w:marTop w:val="0"/>
      <w:marBottom w:val="0"/>
      <w:divBdr>
        <w:top w:val="none" w:sz="0" w:space="0" w:color="auto"/>
        <w:left w:val="none" w:sz="0" w:space="0" w:color="auto"/>
        <w:bottom w:val="none" w:sz="0" w:space="0" w:color="auto"/>
        <w:right w:val="none" w:sz="0" w:space="0" w:color="auto"/>
      </w:divBdr>
      <w:divsChild>
        <w:div w:id="1284919267">
          <w:marLeft w:val="0"/>
          <w:marRight w:val="0"/>
          <w:marTop w:val="75"/>
          <w:marBottom w:val="150"/>
          <w:divBdr>
            <w:top w:val="none" w:sz="0" w:space="0" w:color="auto"/>
            <w:left w:val="none" w:sz="0" w:space="0" w:color="auto"/>
            <w:bottom w:val="none" w:sz="0" w:space="0" w:color="auto"/>
            <w:right w:val="none" w:sz="0" w:space="0" w:color="auto"/>
          </w:divBdr>
          <w:divsChild>
            <w:div w:id="1194881958">
              <w:marLeft w:val="15"/>
              <w:marRight w:val="0"/>
              <w:marTop w:val="0"/>
              <w:marBottom w:val="0"/>
              <w:divBdr>
                <w:top w:val="single" w:sz="6" w:space="0" w:color="CCCCCC"/>
                <w:left w:val="single" w:sz="6" w:space="0" w:color="CCCCCC"/>
                <w:bottom w:val="single" w:sz="6" w:space="0" w:color="CCCCCC"/>
                <w:right w:val="single" w:sz="6" w:space="0" w:color="CCCCCC"/>
              </w:divBdr>
              <w:divsChild>
                <w:div w:id="552811583">
                  <w:marLeft w:val="0"/>
                  <w:marRight w:val="0"/>
                  <w:marTop w:val="0"/>
                  <w:marBottom w:val="0"/>
                  <w:divBdr>
                    <w:top w:val="none" w:sz="0" w:space="0" w:color="auto"/>
                    <w:left w:val="none" w:sz="0" w:space="0" w:color="auto"/>
                    <w:bottom w:val="none" w:sz="0" w:space="0" w:color="auto"/>
                    <w:right w:val="none" w:sz="0" w:space="0" w:color="auto"/>
                  </w:divBdr>
                  <w:divsChild>
                    <w:div w:id="1157455623">
                      <w:marLeft w:val="0"/>
                      <w:marRight w:val="0"/>
                      <w:marTop w:val="0"/>
                      <w:marBottom w:val="0"/>
                      <w:divBdr>
                        <w:top w:val="dashed" w:sz="6" w:space="4" w:color="CCCCCC"/>
                        <w:left w:val="none" w:sz="0" w:space="0" w:color="auto"/>
                        <w:bottom w:val="dashed" w:sz="6" w:space="4" w:color="CCCCCC"/>
                        <w:right w:val="none" w:sz="0" w:space="0" w:color="auto"/>
                      </w:divBdr>
                    </w:div>
                  </w:divsChild>
                </w:div>
              </w:divsChild>
            </w:div>
          </w:divsChild>
        </w:div>
      </w:divsChild>
    </w:div>
    <w:div w:id="1385252098">
      <w:bodyDiv w:val="1"/>
      <w:marLeft w:val="0"/>
      <w:marRight w:val="0"/>
      <w:marTop w:val="0"/>
      <w:marBottom w:val="0"/>
      <w:divBdr>
        <w:top w:val="none" w:sz="0" w:space="0" w:color="auto"/>
        <w:left w:val="none" w:sz="0" w:space="0" w:color="auto"/>
        <w:bottom w:val="none" w:sz="0" w:space="0" w:color="auto"/>
        <w:right w:val="none" w:sz="0" w:space="0" w:color="auto"/>
      </w:divBdr>
      <w:divsChild>
        <w:div w:id="1944219444">
          <w:marLeft w:val="0"/>
          <w:marRight w:val="0"/>
          <w:marTop w:val="0"/>
          <w:marBottom w:val="0"/>
          <w:divBdr>
            <w:top w:val="none" w:sz="0" w:space="0" w:color="auto"/>
            <w:left w:val="none" w:sz="0" w:space="0" w:color="auto"/>
            <w:bottom w:val="none" w:sz="0" w:space="0" w:color="auto"/>
            <w:right w:val="none" w:sz="0" w:space="0" w:color="auto"/>
          </w:divBdr>
          <w:divsChild>
            <w:div w:id="2082016603">
              <w:marLeft w:val="0"/>
              <w:marRight w:val="0"/>
              <w:marTop w:val="0"/>
              <w:marBottom w:val="0"/>
              <w:divBdr>
                <w:top w:val="none" w:sz="0" w:space="0" w:color="auto"/>
                <w:left w:val="none" w:sz="0" w:space="0" w:color="auto"/>
                <w:bottom w:val="none" w:sz="0" w:space="0" w:color="auto"/>
                <w:right w:val="none" w:sz="0" w:space="0" w:color="auto"/>
              </w:divBdr>
              <w:divsChild>
                <w:div w:id="291835514">
                  <w:marLeft w:val="0"/>
                  <w:marRight w:val="0"/>
                  <w:marTop w:val="0"/>
                  <w:marBottom w:val="0"/>
                  <w:divBdr>
                    <w:top w:val="none" w:sz="0" w:space="0" w:color="auto"/>
                    <w:left w:val="none" w:sz="0" w:space="0" w:color="auto"/>
                    <w:bottom w:val="none" w:sz="0" w:space="0" w:color="auto"/>
                    <w:right w:val="none" w:sz="0" w:space="0" w:color="auto"/>
                  </w:divBdr>
                  <w:divsChild>
                    <w:div w:id="210383729">
                      <w:marLeft w:val="0"/>
                      <w:marRight w:val="0"/>
                      <w:marTop w:val="45"/>
                      <w:marBottom w:val="0"/>
                      <w:divBdr>
                        <w:top w:val="none" w:sz="0" w:space="0" w:color="auto"/>
                        <w:left w:val="none" w:sz="0" w:space="0" w:color="auto"/>
                        <w:bottom w:val="none" w:sz="0" w:space="0" w:color="auto"/>
                        <w:right w:val="none" w:sz="0" w:space="0" w:color="auto"/>
                      </w:divBdr>
                      <w:divsChild>
                        <w:div w:id="1769079505">
                          <w:marLeft w:val="0"/>
                          <w:marRight w:val="0"/>
                          <w:marTop w:val="0"/>
                          <w:marBottom w:val="0"/>
                          <w:divBdr>
                            <w:top w:val="none" w:sz="0" w:space="0" w:color="auto"/>
                            <w:left w:val="none" w:sz="0" w:space="0" w:color="auto"/>
                            <w:bottom w:val="none" w:sz="0" w:space="0" w:color="auto"/>
                            <w:right w:val="none" w:sz="0" w:space="0" w:color="auto"/>
                          </w:divBdr>
                          <w:divsChild>
                            <w:div w:id="1039009542">
                              <w:marLeft w:val="2070"/>
                              <w:marRight w:val="3810"/>
                              <w:marTop w:val="0"/>
                              <w:marBottom w:val="0"/>
                              <w:divBdr>
                                <w:top w:val="none" w:sz="0" w:space="0" w:color="auto"/>
                                <w:left w:val="none" w:sz="0" w:space="0" w:color="auto"/>
                                <w:bottom w:val="none" w:sz="0" w:space="0" w:color="auto"/>
                                <w:right w:val="none" w:sz="0" w:space="0" w:color="auto"/>
                              </w:divBdr>
                              <w:divsChild>
                                <w:div w:id="1798447325">
                                  <w:marLeft w:val="0"/>
                                  <w:marRight w:val="0"/>
                                  <w:marTop w:val="0"/>
                                  <w:marBottom w:val="0"/>
                                  <w:divBdr>
                                    <w:top w:val="none" w:sz="0" w:space="0" w:color="auto"/>
                                    <w:left w:val="none" w:sz="0" w:space="0" w:color="auto"/>
                                    <w:bottom w:val="none" w:sz="0" w:space="0" w:color="auto"/>
                                    <w:right w:val="none" w:sz="0" w:space="0" w:color="auto"/>
                                  </w:divBdr>
                                  <w:divsChild>
                                    <w:div w:id="2029482969">
                                      <w:marLeft w:val="0"/>
                                      <w:marRight w:val="0"/>
                                      <w:marTop w:val="0"/>
                                      <w:marBottom w:val="0"/>
                                      <w:divBdr>
                                        <w:top w:val="none" w:sz="0" w:space="0" w:color="auto"/>
                                        <w:left w:val="none" w:sz="0" w:space="0" w:color="auto"/>
                                        <w:bottom w:val="none" w:sz="0" w:space="0" w:color="auto"/>
                                        <w:right w:val="none" w:sz="0" w:space="0" w:color="auto"/>
                                      </w:divBdr>
                                      <w:divsChild>
                                        <w:div w:id="547304805">
                                          <w:marLeft w:val="0"/>
                                          <w:marRight w:val="0"/>
                                          <w:marTop w:val="0"/>
                                          <w:marBottom w:val="0"/>
                                          <w:divBdr>
                                            <w:top w:val="none" w:sz="0" w:space="0" w:color="auto"/>
                                            <w:left w:val="none" w:sz="0" w:space="0" w:color="auto"/>
                                            <w:bottom w:val="none" w:sz="0" w:space="0" w:color="auto"/>
                                            <w:right w:val="none" w:sz="0" w:space="0" w:color="auto"/>
                                          </w:divBdr>
                                          <w:divsChild>
                                            <w:div w:id="398676975">
                                              <w:marLeft w:val="0"/>
                                              <w:marRight w:val="0"/>
                                              <w:marTop w:val="0"/>
                                              <w:marBottom w:val="0"/>
                                              <w:divBdr>
                                                <w:top w:val="none" w:sz="0" w:space="0" w:color="auto"/>
                                                <w:left w:val="none" w:sz="0" w:space="0" w:color="auto"/>
                                                <w:bottom w:val="none" w:sz="0" w:space="0" w:color="auto"/>
                                                <w:right w:val="none" w:sz="0" w:space="0" w:color="auto"/>
                                              </w:divBdr>
                                              <w:divsChild>
                                                <w:div w:id="811603586">
                                                  <w:marLeft w:val="0"/>
                                                  <w:marRight w:val="0"/>
                                                  <w:marTop w:val="0"/>
                                                  <w:marBottom w:val="0"/>
                                                  <w:divBdr>
                                                    <w:top w:val="none" w:sz="0" w:space="0" w:color="auto"/>
                                                    <w:left w:val="none" w:sz="0" w:space="0" w:color="auto"/>
                                                    <w:bottom w:val="none" w:sz="0" w:space="0" w:color="auto"/>
                                                    <w:right w:val="none" w:sz="0" w:space="0" w:color="auto"/>
                                                  </w:divBdr>
                                                  <w:divsChild>
                                                    <w:div w:id="494227459">
                                                      <w:marLeft w:val="0"/>
                                                      <w:marRight w:val="0"/>
                                                      <w:marTop w:val="0"/>
                                                      <w:marBottom w:val="0"/>
                                                      <w:divBdr>
                                                        <w:top w:val="none" w:sz="0" w:space="0" w:color="auto"/>
                                                        <w:left w:val="none" w:sz="0" w:space="0" w:color="auto"/>
                                                        <w:bottom w:val="none" w:sz="0" w:space="0" w:color="auto"/>
                                                        <w:right w:val="none" w:sz="0" w:space="0" w:color="auto"/>
                                                      </w:divBdr>
                                                      <w:divsChild>
                                                        <w:div w:id="1856462498">
                                                          <w:marLeft w:val="0"/>
                                                          <w:marRight w:val="0"/>
                                                          <w:marTop w:val="0"/>
                                                          <w:marBottom w:val="0"/>
                                                          <w:divBdr>
                                                            <w:top w:val="none" w:sz="0" w:space="0" w:color="auto"/>
                                                            <w:left w:val="none" w:sz="0" w:space="0" w:color="auto"/>
                                                            <w:bottom w:val="none" w:sz="0" w:space="0" w:color="auto"/>
                                                            <w:right w:val="none" w:sz="0" w:space="0" w:color="auto"/>
                                                          </w:divBdr>
                                                          <w:divsChild>
                                                            <w:div w:id="1728454781">
                                                              <w:marLeft w:val="0"/>
                                                              <w:marRight w:val="0"/>
                                                              <w:marTop w:val="0"/>
                                                              <w:marBottom w:val="0"/>
                                                              <w:divBdr>
                                                                <w:top w:val="none" w:sz="0" w:space="0" w:color="auto"/>
                                                                <w:left w:val="none" w:sz="0" w:space="0" w:color="auto"/>
                                                                <w:bottom w:val="none" w:sz="0" w:space="0" w:color="auto"/>
                                                                <w:right w:val="none" w:sz="0" w:space="0" w:color="auto"/>
                                                              </w:divBdr>
                                                              <w:divsChild>
                                                                <w:div w:id="247010174">
                                                                  <w:marLeft w:val="0"/>
                                                                  <w:marRight w:val="0"/>
                                                                  <w:marTop w:val="0"/>
                                                                  <w:marBottom w:val="0"/>
                                                                  <w:divBdr>
                                                                    <w:top w:val="none" w:sz="0" w:space="0" w:color="auto"/>
                                                                    <w:left w:val="none" w:sz="0" w:space="0" w:color="auto"/>
                                                                    <w:bottom w:val="none" w:sz="0" w:space="0" w:color="auto"/>
                                                                    <w:right w:val="none" w:sz="0" w:space="0" w:color="auto"/>
                                                                  </w:divBdr>
                                                                  <w:divsChild>
                                                                    <w:div w:id="9779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654830">
      <w:bodyDiv w:val="1"/>
      <w:marLeft w:val="0"/>
      <w:marRight w:val="0"/>
      <w:marTop w:val="0"/>
      <w:marBottom w:val="0"/>
      <w:divBdr>
        <w:top w:val="none" w:sz="0" w:space="0" w:color="auto"/>
        <w:left w:val="none" w:sz="0" w:space="0" w:color="auto"/>
        <w:bottom w:val="none" w:sz="0" w:space="0" w:color="auto"/>
        <w:right w:val="none" w:sz="0" w:space="0" w:color="auto"/>
      </w:divBdr>
    </w:div>
    <w:div w:id="1595825600">
      <w:bodyDiv w:val="1"/>
      <w:marLeft w:val="0"/>
      <w:marRight w:val="0"/>
      <w:marTop w:val="0"/>
      <w:marBottom w:val="0"/>
      <w:divBdr>
        <w:top w:val="none" w:sz="0" w:space="0" w:color="auto"/>
        <w:left w:val="none" w:sz="0" w:space="0" w:color="auto"/>
        <w:bottom w:val="none" w:sz="0" w:space="0" w:color="auto"/>
        <w:right w:val="none" w:sz="0" w:space="0" w:color="auto"/>
      </w:divBdr>
    </w:div>
    <w:div w:id="1612469859">
      <w:bodyDiv w:val="1"/>
      <w:marLeft w:val="0"/>
      <w:marRight w:val="0"/>
      <w:marTop w:val="0"/>
      <w:marBottom w:val="0"/>
      <w:divBdr>
        <w:top w:val="none" w:sz="0" w:space="0" w:color="auto"/>
        <w:left w:val="none" w:sz="0" w:space="0" w:color="auto"/>
        <w:bottom w:val="none" w:sz="0" w:space="0" w:color="auto"/>
        <w:right w:val="none" w:sz="0" w:space="0" w:color="auto"/>
      </w:divBdr>
      <w:divsChild>
        <w:div w:id="68577250">
          <w:marLeft w:val="0"/>
          <w:marRight w:val="0"/>
          <w:marTop w:val="0"/>
          <w:marBottom w:val="0"/>
          <w:divBdr>
            <w:top w:val="none" w:sz="0" w:space="0" w:color="auto"/>
            <w:left w:val="none" w:sz="0" w:space="0" w:color="auto"/>
            <w:bottom w:val="none" w:sz="0" w:space="0" w:color="auto"/>
            <w:right w:val="none" w:sz="0" w:space="0" w:color="auto"/>
          </w:divBdr>
          <w:divsChild>
            <w:div w:id="214656794">
              <w:marLeft w:val="0"/>
              <w:marRight w:val="0"/>
              <w:marTop w:val="0"/>
              <w:marBottom w:val="0"/>
              <w:divBdr>
                <w:top w:val="none" w:sz="0" w:space="0" w:color="auto"/>
                <w:left w:val="none" w:sz="0" w:space="0" w:color="auto"/>
                <w:bottom w:val="none" w:sz="0" w:space="0" w:color="auto"/>
                <w:right w:val="none" w:sz="0" w:space="0" w:color="auto"/>
              </w:divBdr>
              <w:divsChild>
                <w:div w:id="323095079">
                  <w:marLeft w:val="0"/>
                  <w:marRight w:val="0"/>
                  <w:marTop w:val="0"/>
                  <w:marBottom w:val="0"/>
                  <w:divBdr>
                    <w:top w:val="none" w:sz="0" w:space="0" w:color="auto"/>
                    <w:left w:val="none" w:sz="0" w:space="0" w:color="auto"/>
                    <w:bottom w:val="none" w:sz="0" w:space="0" w:color="auto"/>
                    <w:right w:val="none" w:sz="0" w:space="0" w:color="auto"/>
                  </w:divBdr>
                  <w:divsChild>
                    <w:div w:id="1567108383">
                      <w:marLeft w:val="0"/>
                      <w:marRight w:val="0"/>
                      <w:marTop w:val="0"/>
                      <w:marBottom w:val="0"/>
                      <w:divBdr>
                        <w:top w:val="none" w:sz="0" w:space="0" w:color="auto"/>
                        <w:left w:val="none" w:sz="0" w:space="0" w:color="auto"/>
                        <w:bottom w:val="none" w:sz="0" w:space="0" w:color="auto"/>
                        <w:right w:val="none" w:sz="0" w:space="0" w:color="auto"/>
                      </w:divBdr>
                      <w:divsChild>
                        <w:div w:id="2117404081">
                          <w:marLeft w:val="0"/>
                          <w:marRight w:val="0"/>
                          <w:marTop w:val="0"/>
                          <w:marBottom w:val="0"/>
                          <w:divBdr>
                            <w:top w:val="none" w:sz="0" w:space="0" w:color="auto"/>
                            <w:left w:val="none" w:sz="0" w:space="0" w:color="auto"/>
                            <w:bottom w:val="none" w:sz="0" w:space="0" w:color="auto"/>
                            <w:right w:val="none" w:sz="0" w:space="0" w:color="auto"/>
                          </w:divBdr>
                          <w:divsChild>
                            <w:div w:id="848445031">
                              <w:marLeft w:val="0"/>
                              <w:marRight w:val="0"/>
                              <w:marTop w:val="0"/>
                              <w:marBottom w:val="0"/>
                              <w:divBdr>
                                <w:top w:val="none" w:sz="0" w:space="0" w:color="auto"/>
                                <w:left w:val="none" w:sz="0" w:space="0" w:color="auto"/>
                                <w:bottom w:val="none" w:sz="0" w:space="0" w:color="auto"/>
                                <w:right w:val="none" w:sz="0" w:space="0" w:color="auto"/>
                              </w:divBdr>
                              <w:divsChild>
                                <w:div w:id="1134177955">
                                  <w:marLeft w:val="0"/>
                                  <w:marRight w:val="0"/>
                                  <w:marTop w:val="0"/>
                                  <w:marBottom w:val="180"/>
                                  <w:divBdr>
                                    <w:top w:val="single" w:sz="2" w:space="11" w:color="E0E0E0"/>
                                    <w:left w:val="single" w:sz="6" w:space="11" w:color="E0E0E0"/>
                                    <w:bottom w:val="single" w:sz="6" w:space="11" w:color="E0E0E0"/>
                                    <w:right w:val="single" w:sz="6" w:space="11" w:color="E0E0E0"/>
                                  </w:divBdr>
                                  <w:divsChild>
                                    <w:div w:id="927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81051">
      <w:bodyDiv w:val="1"/>
      <w:marLeft w:val="0"/>
      <w:marRight w:val="0"/>
      <w:marTop w:val="0"/>
      <w:marBottom w:val="0"/>
      <w:divBdr>
        <w:top w:val="none" w:sz="0" w:space="0" w:color="auto"/>
        <w:left w:val="none" w:sz="0" w:space="0" w:color="auto"/>
        <w:bottom w:val="none" w:sz="0" w:space="0" w:color="auto"/>
        <w:right w:val="none" w:sz="0" w:space="0" w:color="auto"/>
      </w:divBdr>
      <w:divsChild>
        <w:div w:id="451362986">
          <w:marLeft w:val="0"/>
          <w:marRight w:val="0"/>
          <w:marTop w:val="0"/>
          <w:marBottom w:val="0"/>
          <w:divBdr>
            <w:top w:val="none" w:sz="0" w:space="0" w:color="auto"/>
            <w:left w:val="none" w:sz="0" w:space="0" w:color="auto"/>
            <w:bottom w:val="none" w:sz="0" w:space="0" w:color="auto"/>
            <w:right w:val="none" w:sz="0" w:space="0" w:color="auto"/>
          </w:divBdr>
          <w:divsChild>
            <w:div w:id="2030447209">
              <w:marLeft w:val="0"/>
              <w:marRight w:val="0"/>
              <w:marTop w:val="0"/>
              <w:marBottom w:val="0"/>
              <w:divBdr>
                <w:top w:val="none" w:sz="0" w:space="0" w:color="auto"/>
                <w:left w:val="none" w:sz="0" w:space="0" w:color="auto"/>
                <w:bottom w:val="none" w:sz="0" w:space="0" w:color="auto"/>
                <w:right w:val="none" w:sz="0" w:space="0" w:color="auto"/>
              </w:divBdr>
              <w:divsChild>
                <w:div w:id="1431774784">
                  <w:marLeft w:val="0"/>
                  <w:marRight w:val="0"/>
                  <w:marTop w:val="0"/>
                  <w:marBottom w:val="0"/>
                  <w:divBdr>
                    <w:top w:val="none" w:sz="0" w:space="0" w:color="auto"/>
                    <w:left w:val="none" w:sz="0" w:space="0" w:color="auto"/>
                    <w:bottom w:val="none" w:sz="0" w:space="0" w:color="auto"/>
                    <w:right w:val="none" w:sz="0" w:space="0" w:color="auto"/>
                  </w:divBdr>
                  <w:divsChild>
                    <w:div w:id="2031949457">
                      <w:marLeft w:val="0"/>
                      <w:marRight w:val="0"/>
                      <w:marTop w:val="0"/>
                      <w:marBottom w:val="0"/>
                      <w:divBdr>
                        <w:top w:val="none" w:sz="0" w:space="0" w:color="auto"/>
                        <w:left w:val="none" w:sz="0" w:space="0" w:color="auto"/>
                        <w:bottom w:val="none" w:sz="0" w:space="0" w:color="auto"/>
                        <w:right w:val="none" w:sz="0" w:space="0" w:color="auto"/>
                      </w:divBdr>
                      <w:divsChild>
                        <w:div w:id="2021815207">
                          <w:marLeft w:val="0"/>
                          <w:marRight w:val="0"/>
                          <w:marTop w:val="0"/>
                          <w:marBottom w:val="0"/>
                          <w:divBdr>
                            <w:top w:val="none" w:sz="0" w:space="0" w:color="auto"/>
                            <w:left w:val="none" w:sz="0" w:space="0" w:color="auto"/>
                            <w:bottom w:val="none" w:sz="0" w:space="0" w:color="auto"/>
                            <w:right w:val="none" w:sz="0" w:space="0" w:color="auto"/>
                          </w:divBdr>
                          <w:divsChild>
                            <w:div w:id="627203352">
                              <w:marLeft w:val="0"/>
                              <w:marRight w:val="0"/>
                              <w:marTop w:val="0"/>
                              <w:marBottom w:val="0"/>
                              <w:divBdr>
                                <w:top w:val="none" w:sz="0" w:space="0" w:color="auto"/>
                                <w:left w:val="none" w:sz="0" w:space="0" w:color="auto"/>
                                <w:bottom w:val="none" w:sz="0" w:space="0" w:color="auto"/>
                                <w:right w:val="none" w:sz="0" w:space="0" w:color="auto"/>
                              </w:divBdr>
                              <w:divsChild>
                                <w:div w:id="1618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7624">
      <w:bodyDiv w:val="1"/>
      <w:marLeft w:val="0"/>
      <w:marRight w:val="0"/>
      <w:marTop w:val="0"/>
      <w:marBottom w:val="0"/>
      <w:divBdr>
        <w:top w:val="none" w:sz="0" w:space="0" w:color="auto"/>
        <w:left w:val="none" w:sz="0" w:space="0" w:color="auto"/>
        <w:bottom w:val="none" w:sz="0" w:space="0" w:color="auto"/>
        <w:right w:val="none" w:sz="0" w:space="0" w:color="auto"/>
      </w:divBdr>
      <w:divsChild>
        <w:div w:id="597062327">
          <w:marLeft w:val="0"/>
          <w:marRight w:val="0"/>
          <w:marTop w:val="0"/>
          <w:marBottom w:val="0"/>
          <w:divBdr>
            <w:top w:val="none" w:sz="0" w:space="0" w:color="auto"/>
            <w:left w:val="none" w:sz="0" w:space="0" w:color="auto"/>
            <w:bottom w:val="none" w:sz="0" w:space="0" w:color="auto"/>
            <w:right w:val="none" w:sz="0" w:space="0" w:color="auto"/>
          </w:divBdr>
          <w:divsChild>
            <w:div w:id="94700402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895044437">
      <w:bodyDiv w:val="1"/>
      <w:marLeft w:val="0"/>
      <w:marRight w:val="0"/>
      <w:marTop w:val="0"/>
      <w:marBottom w:val="0"/>
      <w:divBdr>
        <w:top w:val="none" w:sz="0" w:space="0" w:color="auto"/>
        <w:left w:val="none" w:sz="0" w:space="0" w:color="auto"/>
        <w:bottom w:val="none" w:sz="0" w:space="0" w:color="auto"/>
        <w:right w:val="none" w:sz="0" w:space="0" w:color="auto"/>
      </w:divBdr>
      <w:divsChild>
        <w:div w:id="1012873139">
          <w:marLeft w:val="0"/>
          <w:marRight w:val="0"/>
          <w:marTop w:val="0"/>
          <w:marBottom w:val="0"/>
          <w:divBdr>
            <w:top w:val="none" w:sz="0" w:space="0" w:color="auto"/>
            <w:left w:val="none" w:sz="0" w:space="0" w:color="auto"/>
            <w:bottom w:val="none" w:sz="0" w:space="0" w:color="auto"/>
            <w:right w:val="none" w:sz="0" w:space="0" w:color="auto"/>
          </w:divBdr>
          <w:divsChild>
            <w:div w:id="543636192">
              <w:marLeft w:val="0"/>
              <w:marRight w:val="0"/>
              <w:marTop w:val="0"/>
              <w:marBottom w:val="0"/>
              <w:divBdr>
                <w:top w:val="none" w:sz="0" w:space="0" w:color="auto"/>
                <w:left w:val="none" w:sz="0" w:space="0" w:color="auto"/>
                <w:bottom w:val="none" w:sz="0" w:space="0" w:color="auto"/>
                <w:right w:val="none" w:sz="0" w:space="0" w:color="auto"/>
              </w:divBdr>
              <w:divsChild>
                <w:div w:id="245071318">
                  <w:marLeft w:val="0"/>
                  <w:marRight w:val="0"/>
                  <w:marTop w:val="0"/>
                  <w:marBottom w:val="0"/>
                  <w:divBdr>
                    <w:top w:val="none" w:sz="0" w:space="0" w:color="auto"/>
                    <w:left w:val="none" w:sz="0" w:space="0" w:color="auto"/>
                    <w:bottom w:val="none" w:sz="0" w:space="0" w:color="auto"/>
                    <w:right w:val="none" w:sz="0" w:space="0" w:color="auto"/>
                  </w:divBdr>
                  <w:divsChild>
                    <w:div w:id="235745320">
                      <w:marLeft w:val="0"/>
                      <w:marRight w:val="0"/>
                      <w:marTop w:val="0"/>
                      <w:marBottom w:val="0"/>
                      <w:divBdr>
                        <w:top w:val="none" w:sz="0" w:space="0" w:color="auto"/>
                        <w:left w:val="none" w:sz="0" w:space="0" w:color="auto"/>
                        <w:bottom w:val="none" w:sz="0" w:space="0" w:color="auto"/>
                        <w:right w:val="none" w:sz="0" w:space="0" w:color="auto"/>
                      </w:divBdr>
                      <w:divsChild>
                        <w:div w:id="1304852462">
                          <w:marLeft w:val="0"/>
                          <w:marRight w:val="0"/>
                          <w:marTop w:val="315"/>
                          <w:marBottom w:val="0"/>
                          <w:divBdr>
                            <w:top w:val="none" w:sz="0" w:space="0" w:color="auto"/>
                            <w:left w:val="none" w:sz="0" w:space="0" w:color="auto"/>
                            <w:bottom w:val="none" w:sz="0" w:space="0" w:color="auto"/>
                            <w:right w:val="none" w:sz="0" w:space="0" w:color="auto"/>
                          </w:divBdr>
                          <w:divsChild>
                            <w:div w:id="1916237240">
                              <w:marLeft w:val="1980"/>
                              <w:marRight w:val="3810"/>
                              <w:marTop w:val="0"/>
                              <w:marBottom w:val="0"/>
                              <w:divBdr>
                                <w:top w:val="none" w:sz="0" w:space="0" w:color="auto"/>
                                <w:left w:val="none" w:sz="0" w:space="0" w:color="auto"/>
                                <w:bottom w:val="none" w:sz="0" w:space="0" w:color="auto"/>
                                <w:right w:val="none" w:sz="0" w:space="0" w:color="auto"/>
                              </w:divBdr>
                              <w:divsChild>
                                <w:div w:id="1075661602">
                                  <w:marLeft w:val="0"/>
                                  <w:marRight w:val="0"/>
                                  <w:marTop w:val="0"/>
                                  <w:marBottom w:val="0"/>
                                  <w:divBdr>
                                    <w:top w:val="none" w:sz="0" w:space="0" w:color="auto"/>
                                    <w:left w:val="none" w:sz="0" w:space="0" w:color="auto"/>
                                    <w:bottom w:val="none" w:sz="0" w:space="0" w:color="auto"/>
                                    <w:right w:val="none" w:sz="0" w:space="0" w:color="auto"/>
                                  </w:divBdr>
                                  <w:divsChild>
                                    <w:div w:id="1930663">
                                      <w:marLeft w:val="0"/>
                                      <w:marRight w:val="0"/>
                                      <w:marTop w:val="0"/>
                                      <w:marBottom w:val="0"/>
                                      <w:divBdr>
                                        <w:top w:val="none" w:sz="0" w:space="0" w:color="auto"/>
                                        <w:left w:val="none" w:sz="0" w:space="0" w:color="auto"/>
                                        <w:bottom w:val="none" w:sz="0" w:space="0" w:color="auto"/>
                                        <w:right w:val="none" w:sz="0" w:space="0" w:color="auto"/>
                                      </w:divBdr>
                                      <w:divsChild>
                                        <w:div w:id="1921985202">
                                          <w:marLeft w:val="0"/>
                                          <w:marRight w:val="0"/>
                                          <w:marTop w:val="0"/>
                                          <w:marBottom w:val="0"/>
                                          <w:divBdr>
                                            <w:top w:val="none" w:sz="0" w:space="0" w:color="auto"/>
                                            <w:left w:val="none" w:sz="0" w:space="0" w:color="auto"/>
                                            <w:bottom w:val="none" w:sz="0" w:space="0" w:color="auto"/>
                                            <w:right w:val="none" w:sz="0" w:space="0" w:color="auto"/>
                                          </w:divBdr>
                                          <w:divsChild>
                                            <w:div w:id="1104231631">
                                              <w:marLeft w:val="0"/>
                                              <w:marRight w:val="0"/>
                                              <w:marTop w:val="0"/>
                                              <w:marBottom w:val="0"/>
                                              <w:divBdr>
                                                <w:top w:val="none" w:sz="0" w:space="0" w:color="auto"/>
                                                <w:left w:val="none" w:sz="0" w:space="0" w:color="auto"/>
                                                <w:bottom w:val="none" w:sz="0" w:space="0" w:color="auto"/>
                                                <w:right w:val="none" w:sz="0" w:space="0" w:color="auto"/>
                                              </w:divBdr>
                                              <w:divsChild>
                                                <w:div w:id="1016230344">
                                                  <w:marLeft w:val="0"/>
                                                  <w:marRight w:val="0"/>
                                                  <w:marTop w:val="0"/>
                                                  <w:marBottom w:val="0"/>
                                                  <w:divBdr>
                                                    <w:top w:val="none" w:sz="0" w:space="0" w:color="auto"/>
                                                    <w:left w:val="none" w:sz="0" w:space="0" w:color="auto"/>
                                                    <w:bottom w:val="none" w:sz="0" w:space="0" w:color="auto"/>
                                                    <w:right w:val="none" w:sz="0" w:space="0" w:color="auto"/>
                                                  </w:divBdr>
                                                  <w:divsChild>
                                                    <w:div w:id="1214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466931">
      <w:bodyDiv w:val="1"/>
      <w:marLeft w:val="0"/>
      <w:marRight w:val="0"/>
      <w:marTop w:val="0"/>
      <w:marBottom w:val="0"/>
      <w:divBdr>
        <w:top w:val="none" w:sz="0" w:space="0" w:color="auto"/>
        <w:left w:val="none" w:sz="0" w:space="0" w:color="auto"/>
        <w:bottom w:val="none" w:sz="0" w:space="0" w:color="auto"/>
        <w:right w:val="none" w:sz="0" w:space="0" w:color="auto"/>
      </w:divBdr>
    </w:div>
    <w:div w:id="2025935063">
      <w:bodyDiv w:val="1"/>
      <w:marLeft w:val="0"/>
      <w:marRight w:val="0"/>
      <w:marTop w:val="0"/>
      <w:marBottom w:val="0"/>
      <w:divBdr>
        <w:top w:val="none" w:sz="0" w:space="0" w:color="auto"/>
        <w:left w:val="none" w:sz="0" w:space="0" w:color="auto"/>
        <w:bottom w:val="none" w:sz="0" w:space="0" w:color="auto"/>
        <w:right w:val="none" w:sz="0" w:space="0" w:color="auto"/>
      </w:divBdr>
      <w:divsChild>
        <w:div w:id="984820155">
          <w:marLeft w:val="0"/>
          <w:marRight w:val="0"/>
          <w:marTop w:val="0"/>
          <w:marBottom w:val="0"/>
          <w:divBdr>
            <w:top w:val="none" w:sz="0" w:space="0" w:color="auto"/>
            <w:left w:val="none" w:sz="0" w:space="0" w:color="auto"/>
            <w:bottom w:val="none" w:sz="0" w:space="0" w:color="auto"/>
            <w:right w:val="none" w:sz="0" w:space="0" w:color="auto"/>
          </w:divBdr>
          <w:divsChild>
            <w:div w:id="78407583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2101482281">
      <w:bodyDiv w:val="1"/>
      <w:marLeft w:val="0"/>
      <w:marRight w:val="0"/>
      <w:marTop w:val="0"/>
      <w:marBottom w:val="0"/>
      <w:divBdr>
        <w:top w:val="none" w:sz="0" w:space="0" w:color="auto"/>
        <w:left w:val="none" w:sz="0" w:space="0" w:color="auto"/>
        <w:bottom w:val="none" w:sz="0" w:space="0" w:color="auto"/>
        <w:right w:val="none" w:sz="0" w:space="0" w:color="auto"/>
      </w:divBdr>
      <w:divsChild>
        <w:div w:id="1980958343">
          <w:marLeft w:val="0"/>
          <w:marRight w:val="0"/>
          <w:marTop w:val="0"/>
          <w:marBottom w:val="0"/>
          <w:divBdr>
            <w:top w:val="none" w:sz="0" w:space="0" w:color="auto"/>
            <w:left w:val="none" w:sz="0" w:space="0" w:color="auto"/>
            <w:bottom w:val="none" w:sz="0" w:space="0" w:color="auto"/>
            <w:right w:val="none" w:sz="0" w:space="0" w:color="auto"/>
          </w:divBdr>
          <w:divsChild>
            <w:div w:id="1912494816">
              <w:marLeft w:val="0"/>
              <w:marRight w:val="0"/>
              <w:marTop w:val="0"/>
              <w:marBottom w:val="0"/>
              <w:divBdr>
                <w:top w:val="none" w:sz="0" w:space="0" w:color="auto"/>
                <w:left w:val="none" w:sz="0" w:space="0" w:color="auto"/>
                <w:bottom w:val="none" w:sz="0" w:space="0" w:color="auto"/>
                <w:right w:val="none" w:sz="0" w:space="0" w:color="auto"/>
              </w:divBdr>
              <w:divsChild>
                <w:div w:id="571160740">
                  <w:marLeft w:val="0"/>
                  <w:marRight w:val="0"/>
                  <w:marTop w:val="0"/>
                  <w:marBottom w:val="0"/>
                  <w:divBdr>
                    <w:top w:val="none" w:sz="0" w:space="0" w:color="auto"/>
                    <w:left w:val="none" w:sz="0" w:space="0" w:color="auto"/>
                    <w:bottom w:val="none" w:sz="0" w:space="0" w:color="auto"/>
                    <w:right w:val="none" w:sz="0" w:space="0" w:color="auto"/>
                  </w:divBdr>
                  <w:divsChild>
                    <w:div w:id="1282221690">
                      <w:marLeft w:val="0"/>
                      <w:marRight w:val="0"/>
                      <w:marTop w:val="0"/>
                      <w:marBottom w:val="0"/>
                      <w:divBdr>
                        <w:top w:val="none" w:sz="0" w:space="0" w:color="auto"/>
                        <w:left w:val="none" w:sz="0" w:space="0" w:color="auto"/>
                        <w:bottom w:val="none" w:sz="0" w:space="0" w:color="auto"/>
                        <w:right w:val="none" w:sz="0" w:space="0" w:color="auto"/>
                      </w:divBdr>
                      <w:divsChild>
                        <w:div w:id="1296642100">
                          <w:marLeft w:val="0"/>
                          <w:marRight w:val="0"/>
                          <w:marTop w:val="0"/>
                          <w:marBottom w:val="0"/>
                          <w:divBdr>
                            <w:top w:val="none" w:sz="0" w:space="0" w:color="auto"/>
                            <w:left w:val="none" w:sz="0" w:space="0" w:color="auto"/>
                            <w:bottom w:val="none" w:sz="0" w:space="0" w:color="auto"/>
                            <w:right w:val="none" w:sz="0" w:space="0" w:color="auto"/>
                          </w:divBdr>
                          <w:divsChild>
                            <w:div w:id="15402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hyperlink" Target="http://www.habia.org/c/1750/minimum-w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f.info/news/naming-and-shaming-businesses-for-failing-to-pay-the-nation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ons/rel/pnfc2/profitability-of-uk-companies/q1-2014/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ns.gov.uk/ons/taxonomy/index.html?nscl=Productivity+Measures%23tab-data-tables" TargetMode="External"/><Relationship Id="rId13" Type="http://schemas.openxmlformats.org/officeDocument/2006/relationships/hyperlink" Target="http://www.barnsley.ac.uk/employers/become-an-apprentice" TargetMode="External"/><Relationship Id="rId18" Type="http://schemas.openxmlformats.org/officeDocument/2006/relationships/hyperlink" Target="http://www.ippr.org/publications/beyond-the-bottom-line-the-challenges-and-opportunities-of-a-living-wage" TargetMode="External"/><Relationship Id="rId26" Type="http://schemas.openxmlformats.org/officeDocument/2006/relationships/hyperlink" Target="http://www.nao.org.uk/wp-content/uploads/2015/03/Adult-social-care-in-England-overview.pdf" TargetMode="External"/><Relationship Id="rId3" Type="http://schemas.openxmlformats.org/officeDocument/2006/relationships/hyperlink" Target="http://issuu.com/redactive/docs/rmjune14" TargetMode="External"/><Relationship Id="rId21" Type="http://schemas.openxmlformats.org/officeDocument/2006/relationships/hyperlink" Target="https://www.gov.uk/government/uploads/system/uploads/attachment_data/file/254326/T435_1113.pdf" TargetMode="External"/><Relationship Id="rId7" Type="http://schemas.openxmlformats.org/officeDocument/2006/relationships/hyperlink" Target="http://www.bankofengland.co.uk/publications/Documents/inflationreport/2014/ir14aug.pdf" TargetMode="External"/><Relationship Id="rId12" Type="http://schemas.openxmlformats.org/officeDocument/2006/relationships/hyperlink" Target="https://www.gov.uk/government/publications/apprenticeship-pay-survey-2012" TargetMode="External"/><Relationship Id="rId17" Type="http://schemas.openxmlformats.org/officeDocument/2006/relationships/hyperlink" Target="http://www.totaljobs.com/JobSearch/JobDetails.aspx?JobId=60180753" TargetMode="External"/><Relationship Id="rId25" Type="http://schemas.openxmlformats.org/officeDocument/2006/relationships/hyperlink" Target="http://www.publications.parliament.uk/pa/cm201415/cmhansrd/cm140626/debtext/140626-0001.htm" TargetMode="External"/><Relationship Id="rId2" Type="http://schemas.openxmlformats.org/officeDocument/2006/relationships/hyperlink" Target="https://www.gov.uk/government/uploads/system/uploads/attachment_data/file/321065/letter-to-chair-low-pay-commission.pdf" TargetMode="External"/><Relationship Id="rId16" Type="http://schemas.openxmlformats.org/officeDocument/2006/relationships/hyperlink" Target="https://apprenticeshipvacancymatchingservice.lsc.gov.uk/Navms/Forms/Vacancy/VacancyDetails.aspx?Query=mt7vHmJFxs0j1H9YmdWyrLEnWCOCN84V2%2fc%2f6JLkCoNMvpWR2Jz0rOs1C%2bhhSwIQ5ZOpePffHQ47itLtpb98tbgitXCumN%2bCAmBhkyIMh6WJRcaxVUY1a%2bPOgU72g4JizDchCKvhuYRBgha5c4oPoY9vIjD79UNUOaB9Ez4evesQ1VBBhwUj9YPwv0RQLmnTRvLtqDcK28C3aSkp%2b4Jt15HU%2fEi4qakHR%2bwUvzV2C3Uvp9%2btve9U4nUGY2bBr%2bOJ%2fIJ4CUAyk0lRzlvw%2feBQQ9eZyvgpxHxBHNPnGd2nmR8%3d" TargetMode="External"/><Relationship Id="rId20" Type="http://schemas.openxmlformats.org/officeDocument/2006/relationships/hyperlink" Target="https://www.gov.uk/government/news/government-gets-tough-with-employers-failing-to-pay-minimum-wage" TargetMode="External"/><Relationship Id="rId1" Type="http://schemas.openxmlformats.org/officeDocument/2006/relationships/hyperlink" Target="http://www.imf.org/external/pubs/ft/sdn/2014/sdn1402.pdf" TargetMode="External"/><Relationship Id="rId6" Type="http://schemas.openxmlformats.org/officeDocument/2006/relationships/hyperlink" Target="http://www.ibisworld.co.uk/market-research/hairdressing-beauty-treatment.html" TargetMode="External"/><Relationship Id="rId11" Type="http://schemas.openxmlformats.org/officeDocument/2006/relationships/hyperlink" Target="https://www.gov.uk/government/consultations/future-of-apprenticeships-in-england-richard-review-next-steps" TargetMode="External"/><Relationship Id="rId24" Type="http://schemas.openxmlformats.org/officeDocument/2006/relationships/hyperlink" Target="file:///C:\Users\smithn\AppData\Local\Microsoft\Windows\Temporary%20Internet%20Files\Content.Outlook\R1DS8O9H\.&#8221;:%20%20http:\www.gumtree.com\p\jobs\business-development-manager-intern\1072658339" TargetMode="External"/><Relationship Id="rId5" Type="http://schemas.openxmlformats.org/officeDocument/2006/relationships/hyperlink" Target="http://clc2.uniservity.com/GroupDownloadFile.asp?GroupId=20095333&amp;ResourceID=2822134" TargetMode="External"/><Relationship Id="rId15" Type="http://schemas.openxmlformats.org/officeDocument/2006/relationships/hyperlink" Target="https://www.gov.uk/government/publications/learner-participation-outcomes-and-level-of-highest-qualification-held" TargetMode="External"/><Relationship Id="rId23" Type="http://schemas.openxmlformats.org/officeDocument/2006/relationships/hyperlink" Target="http://webarchive.nationalarchives.gov.uk/+/http:/www.berr.gov.uk/files/file38769.pdf" TargetMode="External"/><Relationship Id="rId28" Type="http://schemas.openxmlformats.org/officeDocument/2006/relationships/hyperlink" Target="http://livingwagecommission.org.uk/living-wage-commission-reveals-blueprint-for-lifting-1m-out-of-low-pay/" TargetMode="External"/><Relationship Id="rId10" Type="http://schemas.openxmlformats.org/officeDocument/2006/relationships/hyperlink" Target="https://www.gov.uk/government/uploads/system/uploads/attachment_data/file/346024/Quarterly_Brief_NEET_Q2_2014_FINAL.pdf" TargetMode="External"/><Relationship Id="rId19" Type="http://schemas.openxmlformats.org/officeDocument/2006/relationships/hyperlink" Target="https://www.unison.org.uk/upload/sharepoint/Briefings%20and%20Circulars/Landman%20Economics%20Living%20Wage%20Report%20-%20Final.pdf" TargetMode="External"/><Relationship Id="rId4" Type="http://schemas.openxmlformats.org/officeDocument/2006/relationships/hyperlink" Target="http://www.retailresearch.org/retailforecast.php" TargetMode="External"/><Relationship Id="rId9" Type="http://schemas.openxmlformats.org/officeDocument/2006/relationships/hyperlink" Target="https://www.gov.uk/government/news/record-fall-in-youth-unemployment" TargetMode="External"/><Relationship Id="rId14" Type="http://schemas.openxmlformats.org/officeDocument/2006/relationships/hyperlink" Target="http://www.highbury.ac.uk/client/content.asp?contentid=359" TargetMode="External"/><Relationship Id="rId22" Type="http://schemas.openxmlformats.org/officeDocument/2006/relationships/hyperlink" Target="https://www.gov.uk/your-rights-if-your-employer-is-insolvent/claiming-money-owed-to-you" TargetMode="External"/><Relationship Id="rId27" Type="http://schemas.openxmlformats.org/officeDocument/2006/relationships/hyperlink" Target="http://www.publications.parliament.uk/pa/cm201415/cmselect/cmpubacc/518/5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981B-89CF-4A05-AECF-BC00C060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3</TotalTime>
  <Pages>35</Pages>
  <Words>10610</Words>
  <Characters>60480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70949</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sellerp</dc:creator>
  <cp:lastModifiedBy>sellerp</cp:lastModifiedBy>
  <cp:revision>3</cp:revision>
  <cp:lastPrinted>2014-09-26T16:14:00Z</cp:lastPrinted>
  <dcterms:created xsi:type="dcterms:W3CDTF">2014-10-28T11:48:00Z</dcterms:created>
  <dcterms:modified xsi:type="dcterms:W3CDTF">2014-10-31T14:06:00Z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C1I1</vt:lpwstr>
  </property>
</Properties>
</file>