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B4" w:rsidRPr="00A25787" w:rsidRDefault="008469DB" w:rsidP="006F5B46">
      <w:pPr>
        <w:pStyle w:val="Heading1"/>
      </w:pPr>
      <w:r>
        <w:t>Somali trade unionists develop work plan to improve p</w:t>
      </w:r>
      <w:r w:rsidR="00AE1BB4" w:rsidRPr="00A25787">
        <w:t>ay and working conditions</w:t>
      </w:r>
      <w:r>
        <w:t xml:space="preserve"> in the informal sector </w:t>
      </w:r>
    </w:p>
    <w:p w:rsidR="00AE1BB4" w:rsidRPr="00A25787" w:rsidRDefault="00AE1BB4" w:rsidP="00AE1BB4">
      <w:pPr>
        <w:rPr>
          <w:rFonts w:ascii="Arial" w:hAnsi="Arial" w:cs="Arial"/>
        </w:rPr>
      </w:pPr>
    </w:p>
    <w:p w:rsidR="00AE1BB4" w:rsidRDefault="005228C0" w:rsidP="00AE1BB4">
      <w:pPr>
        <w:rPr>
          <w:rFonts w:ascii="Arial" w:hAnsi="Arial" w:cs="Arial"/>
        </w:rPr>
      </w:pPr>
      <w:r>
        <w:rPr>
          <w:rFonts w:ascii="Arial" w:hAnsi="Arial" w:cs="Arial"/>
        </w:rPr>
        <w:t>A trade union workshop was held in Mogadishu, Somalia, with financial support from TUC</w:t>
      </w:r>
      <w:r w:rsidR="00AE1BB4" w:rsidRPr="00A25787">
        <w:rPr>
          <w:rFonts w:ascii="Arial" w:hAnsi="Arial" w:cs="Arial"/>
        </w:rPr>
        <w:t xml:space="preserve"> Aid</w:t>
      </w:r>
      <w:r>
        <w:rPr>
          <w:rFonts w:ascii="Arial" w:hAnsi="Arial" w:cs="Arial"/>
        </w:rPr>
        <w:t xml:space="preserve"> in January to explore ways and means of improving pay </w:t>
      </w:r>
      <w:r w:rsidR="00AE1BB4" w:rsidRPr="00A25787">
        <w:rPr>
          <w:rFonts w:ascii="Arial" w:hAnsi="Arial" w:cs="Arial"/>
        </w:rPr>
        <w:t>and working conditions of informal sector workers</w:t>
      </w:r>
      <w:r>
        <w:rPr>
          <w:rFonts w:ascii="Arial" w:hAnsi="Arial" w:cs="Arial"/>
        </w:rPr>
        <w:t>. The event organized by the Federation of Somali Trade Unions (FESTU) – affiliate of the International Trade Union Confederation</w:t>
      </w:r>
      <w:r w:rsidR="0079267F">
        <w:rPr>
          <w:rFonts w:ascii="Arial" w:hAnsi="Arial" w:cs="Arial"/>
        </w:rPr>
        <w:t xml:space="preserve"> (ITUC)</w:t>
      </w:r>
      <w:r>
        <w:rPr>
          <w:rFonts w:ascii="Arial" w:hAnsi="Arial" w:cs="Arial"/>
        </w:rPr>
        <w:t xml:space="preserve"> was attended by twelve trade union officials from FESTU affiliates. </w:t>
      </w:r>
    </w:p>
    <w:p w:rsidR="005228C0" w:rsidRDefault="00517701" w:rsidP="00AE1BB4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20320</wp:posOffset>
            </wp:positionV>
            <wp:extent cx="2653030" cy="1990090"/>
            <wp:effectExtent l="19050" t="19050" r="13970" b="10160"/>
            <wp:wrapTight wrapText="bothSides">
              <wp:wrapPolygon edited="0">
                <wp:start x="-155" y="-207"/>
                <wp:lineTo x="-155" y="21710"/>
                <wp:lineTo x="21714" y="21710"/>
                <wp:lineTo x="21714" y="-207"/>
                <wp:lineTo x="-155" y="-207"/>
              </wp:wrapPolygon>
            </wp:wrapTight>
            <wp:docPr id="2" name="Picture 2" descr="W:\Euird\BANDULA\TUCAID\2014\Somalia - Informal Sector Project\sawiradiidSiminaarka 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Euird\BANDULA\TUCAID\2014\Somalia - Informal Sector Project\sawiradiidSiminaarka 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99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13C">
        <w:rPr>
          <w:rFonts w:ascii="Arial" w:hAnsi="Arial" w:cs="Arial"/>
        </w:rPr>
        <w:t>The participants assessed the key findings of a survey on pay and working conditions in the informal sector conducted prior to the workshop</w:t>
      </w:r>
      <w:r w:rsidR="00287836">
        <w:rPr>
          <w:rFonts w:ascii="Arial" w:hAnsi="Arial" w:cs="Arial"/>
        </w:rPr>
        <w:t>, stressed the importance of awareness</w:t>
      </w:r>
      <w:r w:rsidR="003B74CF">
        <w:rPr>
          <w:rFonts w:ascii="Arial" w:hAnsi="Arial" w:cs="Arial"/>
        </w:rPr>
        <w:t xml:space="preserve">-raising </w:t>
      </w:r>
      <w:r w:rsidR="00287836">
        <w:rPr>
          <w:rFonts w:ascii="Arial" w:hAnsi="Arial" w:cs="Arial"/>
        </w:rPr>
        <w:t>on workers’ rights and entitlements, trade union education, health and safety at work and gender equality</w:t>
      </w:r>
      <w:r w:rsidR="00C621C1">
        <w:rPr>
          <w:rFonts w:ascii="Arial" w:hAnsi="Arial" w:cs="Arial"/>
        </w:rPr>
        <w:t xml:space="preserve"> and agreed on the need for action</w:t>
      </w:r>
      <w:r w:rsidR="00DE1D25">
        <w:rPr>
          <w:rFonts w:ascii="Arial" w:hAnsi="Arial" w:cs="Arial"/>
        </w:rPr>
        <w:t xml:space="preserve"> </w:t>
      </w:r>
      <w:r w:rsidR="00C621C1">
        <w:rPr>
          <w:rFonts w:ascii="Arial" w:hAnsi="Arial" w:cs="Arial"/>
        </w:rPr>
        <w:t xml:space="preserve">on the recommendations. </w:t>
      </w:r>
      <w:r w:rsidR="00AA1B2D">
        <w:rPr>
          <w:rFonts w:ascii="Arial" w:hAnsi="Arial" w:cs="Arial"/>
        </w:rPr>
        <w:t>In a detailed discussion on challenges facing the informal sect</w:t>
      </w:r>
      <w:r w:rsidR="000266AF">
        <w:rPr>
          <w:rFonts w:ascii="Arial" w:hAnsi="Arial" w:cs="Arial"/>
        </w:rPr>
        <w:t>or, the participants noted, among other issues, that:</w:t>
      </w:r>
    </w:p>
    <w:p w:rsidR="00AA1B2D" w:rsidRDefault="00AA1B2D" w:rsidP="00AA1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was no legal framework for the reco</w:t>
      </w:r>
      <w:r w:rsidR="000266AF">
        <w:rPr>
          <w:rFonts w:ascii="Arial" w:hAnsi="Arial" w:cs="Arial"/>
        </w:rPr>
        <w:t>gnition of informal sector workers</w:t>
      </w:r>
      <w:r w:rsidR="0090385F">
        <w:rPr>
          <w:rFonts w:ascii="Arial" w:hAnsi="Arial" w:cs="Arial"/>
        </w:rPr>
        <w:t>.</w:t>
      </w:r>
    </w:p>
    <w:p w:rsidR="00AA1B2D" w:rsidRDefault="00AA1B2D" w:rsidP="00AA1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Their pay and working conditions were not in compliance with</w:t>
      </w:r>
      <w:r w:rsidR="006A42A0">
        <w:rPr>
          <w:rFonts w:ascii="Arial" w:hAnsi="Arial" w:cs="Arial"/>
        </w:rPr>
        <w:t xml:space="preserve"> the provisions in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 code</w:t>
      </w:r>
      <w:r w:rsidR="0090385F">
        <w:rPr>
          <w:rFonts w:ascii="Arial" w:hAnsi="Arial" w:cs="Arial"/>
        </w:rPr>
        <w:t>.</w:t>
      </w:r>
    </w:p>
    <w:p w:rsidR="00534E17" w:rsidRDefault="0090385F" w:rsidP="00AA1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A1B2D">
        <w:rPr>
          <w:rFonts w:ascii="Arial" w:hAnsi="Arial" w:cs="Arial"/>
        </w:rPr>
        <w:t>here were no opportunities for training and skills development</w:t>
      </w:r>
      <w:r>
        <w:rPr>
          <w:rFonts w:ascii="Arial" w:hAnsi="Arial" w:cs="Arial"/>
        </w:rPr>
        <w:t>.</w:t>
      </w:r>
      <w:r w:rsidR="00AA1B2D">
        <w:rPr>
          <w:rFonts w:ascii="Arial" w:hAnsi="Arial" w:cs="Arial"/>
        </w:rPr>
        <w:t xml:space="preserve"> </w:t>
      </w:r>
    </w:p>
    <w:p w:rsidR="00534E17" w:rsidRDefault="00534E17" w:rsidP="00AA1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was no social protection or insurance</w:t>
      </w:r>
      <w:r w:rsidR="009038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A1B2D" w:rsidRDefault="00C25DF2" w:rsidP="00AA1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use of child </w:t>
      </w: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 was widespread</w:t>
      </w:r>
      <w:r w:rsidR="0090385F">
        <w:rPr>
          <w:rFonts w:ascii="Arial" w:hAnsi="Arial" w:cs="Arial"/>
        </w:rPr>
        <w:t>.</w:t>
      </w:r>
    </w:p>
    <w:p w:rsidR="00A25A4E" w:rsidRDefault="001741F9" w:rsidP="00AA1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Many informal sector workers had little formal education and lived in abject poverty.</w:t>
      </w:r>
      <w:r w:rsidR="0042540C">
        <w:rPr>
          <w:rFonts w:ascii="Arial" w:hAnsi="Arial" w:cs="Arial"/>
        </w:rPr>
        <w:t xml:space="preserve"> </w:t>
      </w:r>
    </w:p>
    <w:p w:rsidR="00517701" w:rsidRPr="00517701" w:rsidRDefault="00517701" w:rsidP="00517701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-3175</wp:posOffset>
            </wp:positionV>
            <wp:extent cx="3482340" cy="2609850"/>
            <wp:effectExtent l="19050" t="19050" r="22860" b="19050"/>
            <wp:wrapTight wrapText="bothSides">
              <wp:wrapPolygon edited="0">
                <wp:start x="-118" y="-158"/>
                <wp:lineTo x="-118" y="21758"/>
                <wp:lineTo x="21742" y="21758"/>
                <wp:lineTo x="21742" y="-158"/>
                <wp:lineTo x="-118" y="-158"/>
              </wp:wrapPolygon>
            </wp:wrapTight>
            <wp:docPr id="3" name="Picture 3" descr="W:\Euird\BANDULA\TUCAID\2014\Somalia - Informal Sector Project\sawiradiidSiminaarka 32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Euird\BANDULA\TUCAID\2014\Somalia - Informal Sector Project\sawiradiidSiminaarka 328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609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85F" w:rsidRPr="0090385F" w:rsidRDefault="001741F9" w:rsidP="003D30BF">
      <w:pPr>
        <w:rPr>
          <w:rFonts w:ascii="Arial" w:hAnsi="Arial" w:cs="Arial"/>
          <w:lang w:val="en-GB"/>
        </w:rPr>
      </w:pPr>
      <w:r w:rsidRPr="0090385F">
        <w:rPr>
          <w:rFonts w:ascii="Arial" w:hAnsi="Arial" w:cs="Arial"/>
        </w:rPr>
        <w:t xml:space="preserve">The Workshop made recommendations on the need for effective action by FESTU and its affiliates </w:t>
      </w:r>
      <w:r w:rsidR="005C0752" w:rsidRPr="0090385F">
        <w:rPr>
          <w:rFonts w:ascii="Arial" w:hAnsi="Arial" w:cs="Arial"/>
        </w:rPr>
        <w:t>through advocacy and lobbying</w:t>
      </w:r>
      <w:r w:rsidR="00F73107">
        <w:rPr>
          <w:rFonts w:ascii="Arial" w:hAnsi="Arial" w:cs="Arial"/>
        </w:rPr>
        <w:t xml:space="preserve"> of</w:t>
      </w:r>
      <w:r w:rsidR="005C0752" w:rsidRPr="0090385F">
        <w:rPr>
          <w:rFonts w:ascii="Arial" w:hAnsi="Arial" w:cs="Arial"/>
        </w:rPr>
        <w:t xml:space="preserve"> the government and relevant agencies</w:t>
      </w:r>
      <w:r w:rsidR="007D69F3">
        <w:rPr>
          <w:rFonts w:ascii="Arial" w:hAnsi="Arial" w:cs="Arial"/>
        </w:rPr>
        <w:t xml:space="preserve"> on effective measures to improve pay and working conditions of informal sector workers.</w:t>
      </w:r>
      <w:r w:rsidR="005C0752" w:rsidRPr="0090385F">
        <w:rPr>
          <w:rFonts w:ascii="Arial" w:hAnsi="Arial" w:cs="Arial"/>
        </w:rPr>
        <w:t xml:space="preserve"> </w:t>
      </w:r>
      <w:r w:rsidR="0090385F" w:rsidRPr="0090385F">
        <w:rPr>
          <w:rFonts w:ascii="Arial" w:hAnsi="Arial" w:cs="Arial"/>
          <w:lang w:val="en-GB"/>
        </w:rPr>
        <w:t xml:space="preserve">Informal sector workers in Somalia who make </w:t>
      </w:r>
      <w:r w:rsidR="00E73DF1">
        <w:rPr>
          <w:rFonts w:ascii="Arial" w:hAnsi="Arial" w:cs="Arial"/>
          <w:lang w:val="en-GB"/>
        </w:rPr>
        <w:t xml:space="preserve">up </w:t>
      </w:r>
      <w:r w:rsidR="0090385F" w:rsidRPr="0090385F">
        <w:rPr>
          <w:rFonts w:ascii="Arial" w:hAnsi="Arial" w:cs="Arial"/>
          <w:lang w:val="en-GB"/>
        </w:rPr>
        <w:t>about 94% of the labour force include domestic workers, street and market vendors, agricultural workers, day labourers etc.</w:t>
      </w:r>
      <w:r w:rsidR="0035640E">
        <w:rPr>
          <w:rFonts w:ascii="Arial" w:hAnsi="Arial" w:cs="Arial"/>
          <w:lang w:val="en-GB"/>
        </w:rPr>
        <w:t xml:space="preserve"> The agreed work plan is to be implemented by February 2016. </w:t>
      </w:r>
    </w:p>
    <w:p w:rsidR="00B45E99" w:rsidRDefault="00B45E99" w:rsidP="00AE1BB4">
      <w:pPr>
        <w:rPr>
          <w:rFonts w:ascii="Arial" w:hAnsi="Arial" w:cs="Arial"/>
        </w:rPr>
      </w:pPr>
    </w:p>
    <w:sectPr w:rsidR="00B45E99" w:rsidSect="00106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07403"/>
    <w:multiLevelType w:val="hybridMultilevel"/>
    <w:tmpl w:val="B1EC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BB4"/>
    <w:rsid w:val="000266AF"/>
    <w:rsid w:val="000D0F0A"/>
    <w:rsid w:val="00105D1D"/>
    <w:rsid w:val="001066B2"/>
    <w:rsid w:val="0015513C"/>
    <w:rsid w:val="001741F9"/>
    <w:rsid w:val="001B7DCD"/>
    <w:rsid w:val="00226A33"/>
    <w:rsid w:val="00227AD2"/>
    <w:rsid w:val="00281E39"/>
    <w:rsid w:val="00287836"/>
    <w:rsid w:val="00287F14"/>
    <w:rsid w:val="00301E0D"/>
    <w:rsid w:val="003024B5"/>
    <w:rsid w:val="00341312"/>
    <w:rsid w:val="00341D26"/>
    <w:rsid w:val="0035640E"/>
    <w:rsid w:val="0039209C"/>
    <w:rsid w:val="003B74CF"/>
    <w:rsid w:val="003D30BF"/>
    <w:rsid w:val="003D3760"/>
    <w:rsid w:val="003F3A37"/>
    <w:rsid w:val="0042540C"/>
    <w:rsid w:val="00475B70"/>
    <w:rsid w:val="004D4D38"/>
    <w:rsid w:val="004D60F9"/>
    <w:rsid w:val="00517701"/>
    <w:rsid w:val="005228C0"/>
    <w:rsid w:val="00534E17"/>
    <w:rsid w:val="005906A1"/>
    <w:rsid w:val="005C0752"/>
    <w:rsid w:val="005C11EA"/>
    <w:rsid w:val="005E76EC"/>
    <w:rsid w:val="006116A5"/>
    <w:rsid w:val="0066160F"/>
    <w:rsid w:val="006A42A0"/>
    <w:rsid w:val="006C7A4D"/>
    <w:rsid w:val="006F5B46"/>
    <w:rsid w:val="00704EA8"/>
    <w:rsid w:val="0073742E"/>
    <w:rsid w:val="0079267F"/>
    <w:rsid w:val="007A05FD"/>
    <w:rsid w:val="007D12EB"/>
    <w:rsid w:val="007D69F3"/>
    <w:rsid w:val="00823871"/>
    <w:rsid w:val="00827467"/>
    <w:rsid w:val="008469DB"/>
    <w:rsid w:val="0085461B"/>
    <w:rsid w:val="008A17FD"/>
    <w:rsid w:val="008D0EEF"/>
    <w:rsid w:val="0090385F"/>
    <w:rsid w:val="00951322"/>
    <w:rsid w:val="00984356"/>
    <w:rsid w:val="009B194A"/>
    <w:rsid w:val="009D34C7"/>
    <w:rsid w:val="009E734F"/>
    <w:rsid w:val="009F50D0"/>
    <w:rsid w:val="00A2168A"/>
    <w:rsid w:val="00A25787"/>
    <w:rsid w:val="00A25A4E"/>
    <w:rsid w:val="00A35B2D"/>
    <w:rsid w:val="00A42E05"/>
    <w:rsid w:val="00AA1B2D"/>
    <w:rsid w:val="00AB20F6"/>
    <w:rsid w:val="00AD3638"/>
    <w:rsid w:val="00AE1BB4"/>
    <w:rsid w:val="00AE48FD"/>
    <w:rsid w:val="00B245A3"/>
    <w:rsid w:val="00B45E99"/>
    <w:rsid w:val="00BC0B61"/>
    <w:rsid w:val="00BF1E5F"/>
    <w:rsid w:val="00C04099"/>
    <w:rsid w:val="00C22F66"/>
    <w:rsid w:val="00C25DF2"/>
    <w:rsid w:val="00C46AD8"/>
    <w:rsid w:val="00C56151"/>
    <w:rsid w:val="00C621C1"/>
    <w:rsid w:val="00C76731"/>
    <w:rsid w:val="00CD0737"/>
    <w:rsid w:val="00DE1D25"/>
    <w:rsid w:val="00DE7087"/>
    <w:rsid w:val="00DF73A4"/>
    <w:rsid w:val="00E410EF"/>
    <w:rsid w:val="00E73DF1"/>
    <w:rsid w:val="00F71678"/>
    <w:rsid w:val="00F73107"/>
    <w:rsid w:val="00F9797C"/>
    <w:rsid w:val="00FD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B4"/>
    <w:pPr>
      <w:widowControl w:val="0"/>
      <w:suppressAutoHyphens/>
      <w:autoSpaceDE w:val="0"/>
      <w:spacing w:after="0" w:line="240" w:lineRule="auto"/>
    </w:pPr>
    <w:rPr>
      <w:rFonts w:ascii="Frutiger 45" w:eastAsia="Times New Roman" w:hAnsi="Frutiger 45" w:cs="Frutiger 45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B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AA1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8A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Kothalb</dc:creator>
  <cp:lastModifiedBy>Kothalb</cp:lastModifiedBy>
  <cp:revision>49</cp:revision>
  <dcterms:created xsi:type="dcterms:W3CDTF">2015-03-23T13:56:00Z</dcterms:created>
  <dcterms:modified xsi:type="dcterms:W3CDTF">2015-03-24T13:13:00Z</dcterms:modified>
</cp:coreProperties>
</file>