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5495"/>
        <w:gridCol w:w="4469"/>
      </w:tblGrid>
      <w:tr w:rsidR="00D564DF">
        <w:tblPrEx>
          <w:tblCellMar>
            <w:top w:w="0" w:type="dxa"/>
            <w:bottom w:w="0" w:type="dxa"/>
          </w:tblCellMar>
        </w:tblPrEx>
        <w:trPr>
          <w:trHeight w:hRule="exact" w:val="1134"/>
        </w:trPr>
        <w:tc>
          <w:tcPr>
            <w:tcW w:w="5495" w:type="dxa"/>
          </w:tcPr>
          <w:p w:rsidR="00D564DF" w:rsidRDefault="00376DF9">
            <w:pPr>
              <w:pStyle w:val="T15TextBody"/>
            </w:pPr>
            <w:r>
              <w:rPr>
                <w:noProof/>
                <w:sz w:val="20"/>
                <w:lang w:eastAsia="en-GB"/>
              </w:rPr>
              <w:drawing>
                <wp:anchor distT="0" distB="0" distL="114300" distR="114300" simplePos="0" relativeHeight="251658752" behindDoc="1" locked="1" layoutInCell="1" allowOverlap="1">
                  <wp:simplePos x="0" y="0"/>
                  <wp:positionH relativeFrom="page">
                    <wp:posOffset>-7620</wp:posOffset>
                  </wp:positionH>
                  <wp:positionV relativeFrom="page">
                    <wp:posOffset>309880</wp:posOffset>
                  </wp:positionV>
                  <wp:extent cx="1705610" cy="295275"/>
                  <wp:effectExtent l="19050" t="0" r="8890" b="0"/>
                  <wp:wrapNone/>
                  <wp:docPr id="4" name="BlueT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TUC"/>
                          <pic:cNvPicPr>
                            <a:picLocks noChangeAspect="1" noChangeArrowheads="1"/>
                          </pic:cNvPicPr>
                        </pic:nvPicPr>
                        <pic:blipFill>
                          <a:blip r:embed="rId7" cstate="print"/>
                          <a:srcRect/>
                          <a:stretch>
                            <a:fillRect/>
                          </a:stretch>
                        </pic:blipFill>
                        <pic:spPr bwMode="auto">
                          <a:xfrm>
                            <a:off x="0" y="0"/>
                            <a:ext cx="1705610" cy="295275"/>
                          </a:xfrm>
                          <a:prstGeom prst="rect">
                            <a:avLst/>
                          </a:prstGeom>
                          <a:noFill/>
                          <a:ln w="9525">
                            <a:noFill/>
                            <a:miter lim="800000"/>
                            <a:headEnd/>
                            <a:tailEnd/>
                          </a:ln>
                        </pic:spPr>
                      </pic:pic>
                    </a:graphicData>
                  </a:graphic>
                </wp:anchor>
              </w:drawing>
            </w:r>
            <w:r w:rsidR="00D564DF">
              <w:rPr>
                <w:noProof/>
                <w:sz w:val="20"/>
                <w:lang w:val="en-US"/>
              </w:rPr>
              <w:pict>
                <v:shapetype id="_x0000_t202" coordsize="21600,21600" o:spt="202" path="m,l,21600r21600,l21600,xe">
                  <v:stroke joinstyle="miter"/>
                  <v:path gradientshapeok="t" o:connecttype="rect"/>
                </v:shapetype>
                <v:shape id="shpFooter_blue" o:spid="_x0000_s1027" type="#_x0000_t202" style="position:absolute;margin-left:-6pt;margin-top:673.15pt;width:510.7pt;height:62.5pt;z-index:-251658752;visibility:visible;mso-position-horizontal-relative:text;mso-position-vertical-relative:page" filled="f" stroked="f">
                  <v:textbox style="mso-next-textbox:#shpFooter_blue">
                    <w:txbxContent>
                      <w:p w:rsidR="008C5B32" w:rsidRDefault="008C5B32">
                        <w:pPr>
                          <w:pStyle w:val="T15Footer"/>
                        </w:pPr>
                        <w:r>
                          <w:t>Congress House, Great Russell Street, London WC1B 3LS</w:t>
                        </w:r>
                      </w:p>
                      <w:p w:rsidR="008C5B32" w:rsidRDefault="008C5B32">
                        <w:pPr>
                          <w:pStyle w:val="T15Footer"/>
                        </w:pPr>
                        <w:r>
                          <w:t xml:space="preserve">telephone: 020 7636 4030  fax: 020 7636 0632  </w:t>
                        </w:r>
                        <w:hyperlink r:id="rId8" w:tooltip="Link to: TUC homepage" w:history="1">
                          <w:r>
                            <w:rPr>
                              <w:rStyle w:val="Hyperlink"/>
                              <w:lang w:val="en-US"/>
                            </w:rPr>
                            <w:t>www.tuc.</w:t>
                          </w:r>
                          <w:r>
                            <w:rPr>
                              <w:rStyle w:val="Hyperlink"/>
                              <w:lang w:val="en-US"/>
                            </w:rPr>
                            <w:t>o</w:t>
                          </w:r>
                          <w:r>
                            <w:rPr>
                              <w:rStyle w:val="Hyperlink"/>
                              <w:lang w:val="en-US"/>
                            </w:rPr>
                            <w:t>rg.uk</w:t>
                          </w:r>
                        </w:hyperlink>
                      </w:p>
                      <w:p w:rsidR="008C5B32" w:rsidRDefault="008C5B32">
                        <w:pPr>
                          <w:rPr>
                            <w:noProof/>
                            <w:color w:val="333399"/>
                            <w:sz w:val="16"/>
                          </w:rPr>
                        </w:pPr>
                      </w:p>
                      <w:p w:rsidR="008C5B32" w:rsidRDefault="008C5B32">
                        <w:pPr>
                          <w:pStyle w:val="T15Footer"/>
                          <w:rPr>
                            <w:i/>
                            <w:iCs/>
                          </w:rPr>
                        </w:pPr>
                        <w:r>
                          <w:t xml:space="preserve">General Secretary: </w:t>
                        </w:r>
                        <w:r>
                          <w:rPr>
                            <w:i/>
                            <w:iCs/>
                          </w:rPr>
                          <w:t>Frances O’Grady</w:t>
                        </w:r>
                        <w:r>
                          <w:t xml:space="preserve">  Assistant General Secretary: </w:t>
                        </w:r>
                        <w:r>
                          <w:rPr>
                            <w:i/>
                            <w:iCs/>
                          </w:rPr>
                          <w:t>Kay Carberry CBE</w:t>
                        </w:r>
                      </w:p>
                      <w:p w:rsidR="008C5B32" w:rsidRDefault="008C5B32">
                        <w:pPr>
                          <w:pStyle w:val="T15Footer"/>
                        </w:pPr>
                        <w:r>
                          <w:t xml:space="preserve">Assistant General Secretary: </w:t>
                        </w:r>
                        <w:r>
                          <w:rPr>
                            <w:i/>
                            <w:iCs/>
                          </w:rPr>
                          <w:t>Paul Nowak</w:t>
                        </w:r>
                      </w:p>
                    </w:txbxContent>
                  </v:textbox>
                  <w10:wrap anchory="page"/>
                  <w10:anchorlock/>
                </v:shape>
              </w:pict>
            </w:r>
            <w:r>
              <w:rPr>
                <w:noProof/>
                <w:sz w:val="20"/>
                <w:lang w:eastAsia="en-GB"/>
              </w:rPr>
              <w:drawing>
                <wp:anchor distT="0" distB="0" distL="114300" distR="114300" simplePos="0" relativeHeight="251656704" behindDoc="0" locked="1" layoutInCell="1" allowOverlap="1">
                  <wp:simplePos x="0" y="0"/>
                  <wp:positionH relativeFrom="page">
                    <wp:posOffset>3827780</wp:posOffset>
                  </wp:positionH>
                  <wp:positionV relativeFrom="page">
                    <wp:posOffset>-612775</wp:posOffset>
                  </wp:positionV>
                  <wp:extent cx="2012315" cy="1157605"/>
                  <wp:effectExtent l="19050" t="0" r="6985" b="0"/>
                  <wp:wrapNone/>
                  <wp:docPr id="3" name="shpLogo_red">
                    <a:hlinkClick xmlns:a="http://schemas.openxmlformats.org/drawingml/2006/main" r:id="rId8"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_red">
                            <a:hlinkClick r:id="rId8" tooltip="Link to: TUC homepage"/>
                          </pic:cNvPr>
                          <pic:cNvPicPr>
                            <a:picLocks noChangeAspect="1" noChangeArrowheads="1"/>
                          </pic:cNvPicPr>
                        </pic:nvPicPr>
                        <pic:blipFill>
                          <a:blip r:embed="rId9" cstate="print"/>
                          <a:srcRect/>
                          <a:stretch>
                            <a:fillRect/>
                          </a:stretch>
                        </pic:blipFill>
                        <pic:spPr bwMode="auto">
                          <a:xfrm>
                            <a:off x="0" y="0"/>
                            <a:ext cx="2012315" cy="1157605"/>
                          </a:xfrm>
                          <a:prstGeom prst="rect">
                            <a:avLst/>
                          </a:prstGeom>
                          <a:noFill/>
                          <a:ln w="9525">
                            <a:noFill/>
                            <a:miter lim="800000"/>
                            <a:headEnd/>
                            <a:tailEnd/>
                          </a:ln>
                        </pic:spPr>
                      </pic:pic>
                    </a:graphicData>
                  </a:graphic>
                </wp:anchor>
              </w:drawing>
            </w:r>
          </w:p>
        </w:tc>
        <w:tc>
          <w:tcPr>
            <w:tcW w:w="4469" w:type="dxa"/>
          </w:tcPr>
          <w:p w:rsidR="00D564DF" w:rsidRDefault="00D564DF">
            <w:pPr>
              <w:pStyle w:val="T15ContactsDescriptors"/>
              <w:rPr>
                <w:vanish/>
              </w:rPr>
            </w:pPr>
          </w:p>
        </w:tc>
      </w:tr>
      <w:tr w:rsidR="00D564DF">
        <w:tblPrEx>
          <w:tblCellMar>
            <w:top w:w="0" w:type="dxa"/>
            <w:bottom w:w="0" w:type="dxa"/>
          </w:tblCellMar>
        </w:tblPrEx>
        <w:trPr>
          <w:trHeight w:val="3395"/>
        </w:trPr>
        <w:tc>
          <w:tcPr>
            <w:tcW w:w="5495" w:type="dxa"/>
          </w:tcPr>
          <w:p w:rsidR="00376DF9" w:rsidRPr="00376DF9" w:rsidRDefault="00376DF9" w:rsidP="00376DF9">
            <w:pPr>
              <w:pStyle w:val="T15TextBody"/>
            </w:pPr>
            <w:r w:rsidRPr="00376DF9">
              <w:t xml:space="preserve">His Excellency Mr T M </w:t>
            </w:r>
            <w:proofErr w:type="spellStart"/>
            <w:r w:rsidRPr="00376DF9">
              <w:t>Hamzah</w:t>
            </w:r>
            <w:proofErr w:type="spellEnd"/>
            <w:r w:rsidRPr="00376DF9">
              <w:t xml:space="preserve"> </w:t>
            </w:r>
            <w:proofErr w:type="spellStart"/>
            <w:r w:rsidRPr="00376DF9">
              <w:t>Thayeb</w:t>
            </w:r>
            <w:proofErr w:type="spellEnd"/>
          </w:p>
          <w:p w:rsidR="00376DF9" w:rsidRPr="00376DF9" w:rsidRDefault="00323D05" w:rsidP="00376DF9">
            <w:pPr>
              <w:pStyle w:val="T15TextBody"/>
            </w:pPr>
            <w:r w:rsidRPr="00376DF9">
              <w:t xml:space="preserve">Ambassador Extraordinary &amp; Plenipotentiary </w:t>
            </w:r>
          </w:p>
          <w:p w:rsidR="00323D05" w:rsidRPr="00376DF9" w:rsidRDefault="00323D05" w:rsidP="00376DF9">
            <w:pPr>
              <w:pStyle w:val="T15TextBody"/>
            </w:pPr>
            <w:r w:rsidRPr="00376DF9">
              <w:t>Embassy of the Republic of Indonesia</w:t>
            </w:r>
          </w:p>
          <w:p w:rsidR="00323D05" w:rsidRPr="00376DF9" w:rsidRDefault="00323D05" w:rsidP="00376DF9">
            <w:pPr>
              <w:pStyle w:val="T15TextBody"/>
            </w:pPr>
            <w:r w:rsidRPr="00376DF9">
              <w:t>38 Grosvenor Square</w:t>
            </w:r>
          </w:p>
          <w:p w:rsidR="00D564DF" w:rsidRDefault="00323D05" w:rsidP="00376DF9">
            <w:pPr>
              <w:pStyle w:val="T15TextBody"/>
            </w:pPr>
            <w:r w:rsidRPr="00376DF9">
              <w:t>London W1K 2HW</w:t>
            </w:r>
          </w:p>
        </w:tc>
        <w:tc>
          <w:tcPr>
            <w:tcW w:w="4469" w:type="dxa"/>
          </w:tcPr>
          <w:p w:rsidR="00D564DF" w:rsidRDefault="00D564DF">
            <w:pPr>
              <w:pStyle w:val="T15ContactsDescriptors"/>
              <w:rPr>
                <w:rFonts w:cs="Segoe UI"/>
                <w:sz w:val="24"/>
              </w:rPr>
            </w:pPr>
            <w:bookmarkStart w:id="0" w:name="bmOurRefLine"/>
            <w:r>
              <w:rPr>
                <w:rFonts w:cs="Segoe UI"/>
              </w:rPr>
              <w:t xml:space="preserve">our ref </w:t>
            </w:r>
            <w:r>
              <w:rPr>
                <w:rFonts w:cs="Segoe UI"/>
              </w:rPr>
              <w:tab/>
            </w:r>
            <w:proofErr w:type="spellStart"/>
            <w:r w:rsidR="00376DF9">
              <w:rPr>
                <w:rStyle w:val="T15Contacts"/>
                <w:rFonts w:cs="Segoe UI"/>
              </w:rPr>
              <w:t>ituc</w:t>
            </w:r>
            <w:proofErr w:type="spellEnd"/>
            <w:r w:rsidR="00376DF9">
              <w:rPr>
                <w:rStyle w:val="T15Contacts"/>
                <w:rFonts w:cs="Segoe UI"/>
              </w:rPr>
              <w:t>/</w:t>
            </w:r>
            <w:proofErr w:type="spellStart"/>
            <w:r w:rsidR="00376DF9">
              <w:rPr>
                <w:rStyle w:val="T15Contacts"/>
                <w:rFonts w:cs="Segoe UI"/>
              </w:rPr>
              <w:t>ot</w:t>
            </w:r>
            <w:proofErr w:type="spellEnd"/>
            <w:r w:rsidR="00376DF9">
              <w:rPr>
                <w:rStyle w:val="T15Contacts"/>
                <w:rFonts w:cs="Segoe UI"/>
              </w:rPr>
              <w:t>/</w:t>
            </w:r>
            <w:proofErr w:type="spellStart"/>
            <w:r w:rsidR="00376DF9">
              <w:rPr>
                <w:rStyle w:val="T15Contacts"/>
                <w:rFonts w:cs="Segoe UI"/>
              </w:rPr>
              <w:t>wp</w:t>
            </w:r>
            <w:proofErr w:type="spellEnd"/>
          </w:p>
          <w:bookmarkEnd w:id="0"/>
          <w:p w:rsidR="00D564DF" w:rsidRDefault="00D564DF">
            <w:pPr>
              <w:pStyle w:val="T15ContactsDescriptors"/>
              <w:rPr>
                <w:rFonts w:cs="Segoe UI"/>
                <w:sz w:val="24"/>
              </w:rPr>
            </w:pPr>
            <w:r>
              <w:rPr>
                <w:rFonts w:cs="Segoe UI"/>
              </w:rPr>
              <w:t xml:space="preserve">date: </w:t>
            </w:r>
            <w:r>
              <w:rPr>
                <w:rFonts w:cs="Segoe UI"/>
              </w:rPr>
              <w:tab/>
            </w:r>
            <w:bookmarkStart w:id="1" w:name="bmGlobDate"/>
            <w:r w:rsidR="00323D05">
              <w:rPr>
                <w:rStyle w:val="T15Contacts"/>
              </w:rPr>
              <w:t>4</w:t>
            </w:r>
            <w:r w:rsidR="00323D05" w:rsidRPr="00323D05">
              <w:rPr>
                <w:rStyle w:val="T15Contacts"/>
              </w:rPr>
              <w:t xml:space="preserve"> November 2015</w:t>
            </w:r>
            <w:bookmarkEnd w:id="1"/>
          </w:p>
          <w:p w:rsidR="00D564DF" w:rsidRDefault="00D564DF">
            <w:pPr>
              <w:pStyle w:val="T15ContactsDescriptors"/>
              <w:rPr>
                <w:rFonts w:cs="Segoe UI"/>
                <w:sz w:val="24"/>
              </w:rPr>
            </w:pPr>
            <w:r>
              <w:rPr>
                <w:rFonts w:cs="Segoe UI"/>
              </w:rPr>
              <w:t xml:space="preserve">contact: </w:t>
            </w:r>
            <w:r>
              <w:rPr>
                <w:rFonts w:cs="Segoe UI"/>
              </w:rPr>
              <w:tab/>
            </w:r>
            <w:bookmarkStart w:id="2" w:name="bmGlobName"/>
            <w:r w:rsidR="00323D05">
              <w:rPr>
                <w:rStyle w:val="T15Contacts"/>
                <w:rFonts w:cs="Segoe UI"/>
              </w:rPr>
              <w:t>Owen Tudor</w:t>
            </w:r>
            <w:bookmarkEnd w:id="2"/>
          </w:p>
          <w:p w:rsidR="00D564DF" w:rsidRDefault="00D564DF">
            <w:pPr>
              <w:pStyle w:val="T15ContactsDescriptors"/>
              <w:rPr>
                <w:rFonts w:cs="Segoe UI"/>
                <w:sz w:val="24"/>
              </w:rPr>
            </w:pPr>
            <w:r>
              <w:rPr>
                <w:rFonts w:cs="Segoe UI"/>
              </w:rPr>
              <w:t>direct line:</w:t>
            </w:r>
            <w:r>
              <w:rPr>
                <w:rFonts w:cs="Segoe UI"/>
              </w:rPr>
              <w:tab/>
            </w:r>
            <w:bookmarkStart w:id="3" w:name="bmGlobTelephone"/>
            <w:r w:rsidR="00323D05">
              <w:rPr>
                <w:rStyle w:val="T15Contacts"/>
                <w:rFonts w:cs="Segoe UI"/>
              </w:rPr>
              <w:t>+44 (20) 7467 1325</w:t>
            </w:r>
            <w:bookmarkEnd w:id="3"/>
          </w:p>
          <w:p w:rsidR="00D564DF" w:rsidRDefault="00D564DF">
            <w:pPr>
              <w:pStyle w:val="T15ContactsDescriptors"/>
            </w:pPr>
            <w:r>
              <w:rPr>
                <w:rFonts w:cs="Segoe UI"/>
              </w:rPr>
              <w:t xml:space="preserve">email: </w:t>
            </w:r>
            <w:r>
              <w:rPr>
                <w:rFonts w:cs="Segoe UI"/>
              </w:rPr>
              <w:tab/>
            </w:r>
            <w:bookmarkStart w:id="4" w:name="bmGlobEmail"/>
            <w:r w:rsidR="00323D05">
              <w:rPr>
                <w:rStyle w:val="T15Contacts"/>
                <w:rFonts w:cs="Segoe UI"/>
              </w:rPr>
              <w:t>otudor@tuc.org.uk</w:t>
            </w:r>
            <w:bookmarkEnd w:id="4"/>
          </w:p>
        </w:tc>
      </w:tr>
    </w:tbl>
    <w:p w:rsidR="00D564DF" w:rsidRDefault="00D564DF">
      <w:pPr>
        <w:pStyle w:val="T15TextBody"/>
      </w:pPr>
      <w:bookmarkStart w:id="5" w:name="bmSalutation"/>
      <w:r>
        <w:t xml:space="preserve">Dear </w:t>
      </w:r>
      <w:bookmarkEnd w:id="5"/>
      <w:r w:rsidR="00376DF9">
        <w:t>Ambassador</w:t>
      </w:r>
    </w:p>
    <w:p w:rsidR="00D564DF" w:rsidRDefault="00D564DF">
      <w:pPr>
        <w:pStyle w:val="T15TextBody"/>
      </w:pPr>
    </w:p>
    <w:p w:rsidR="00D564DF" w:rsidRDefault="00376DF9">
      <w:pPr>
        <w:pStyle w:val="T15SubjectHeader"/>
        <w:rPr>
          <w:szCs w:val="24"/>
        </w:rPr>
      </w:pPr>
      <w:bookmarkStart w:id="6" w:name="bmInsertionPoint"/>
      <w:bookmarkEnd w:id="6"/>
      <w:r>
        <w:t>Minimum wage protests in Jakarta: 30 October 2015</w:t>
      </w:r>
    </w:p>
    <w:p w:rsidR="00323D05" w:rsidRPr="00376DF9" w:rsidRDefault="00323D05" w:rsidP="00376DF9">
      <w:pPr>
        <w:pStyle w:val="T15TextBody"/>
      </w:pPr>
      <w:r w:rsidRPr="00376DF9">
        <w:t>The Trades Union Congress, representing nearly 6 million workers in Great Britain, wishes you to convey to your Government our concerns about the excessive use of police violence in the demonstration on the minimum wage regulation which took place in Jakarta on 30 October. At least 35,000 workers turned up to support the call of eight national unions including KSPI, KSPSI-AGN, KSBSI, FSBI, KPKPBI, FBLP, SBSI 92, SPSI. Twenty-five union members and activists were arrested. The protestors opposed the Government Regulation (PP) No. 78/2015 - which seeks to peg the statutory minimum wage levels in the country to inflation and GDP growth rates only - and demanded a 22% increase to the 2016 minimum wage</w:t>
      </w:r>
      <w:r w:rsidR="00376DF9">
        <w:t>.</w:t>
      </w:r>
      <w:r w:rsidRPr="00376DF9">
        <w:t xml:space="preserve"> </w:t>
      </w:r>
    </w:p>
    <w:p w:rsidR="00323D05" w:rsidRPr="00036487" w:rsidRDefault="00323D05" w:rsidP="00323D05">
      <w:pPr>
        <w:spacing w:line="240" w:lineRule="atLeast"/>
        <w:rPr>
          <w:sz w:val="22"/>
          <w:szCs w:val="22"/>
        </w:rPr>
      </w:pPr>
    </w:p>
    <w:p w:rsidR="00323D05" w:rsidRPr="00376DF9" w:rsidRDefault="00323D05" w:rsidP="00376DF9">
      <w:pPr>
        <w:pStyle w:val="T15TextBody"/>
      </w:pPr>
      <w:r w:rsidRPr="00376DF9">
        <w:t xml:space="preserve">We are shocked to </w:t>
      </w:r>
      <w:r w:rsidR="00376DF9">
        <w:t>learn</w:t>
      </w:r>
      <w:r w:rsidRPr="00376DF9">
        <w:t xml:space="preserve"> that the peaceful demonstration was dispersed by the police using water cannon and tear gas. Many protestors were beaten up. Their cars and motor vehicles were smashed by the police. Twenty-five demonstrators were arrested for detention including eight members from KSPI, the ITUC’s affiliate, and unions affiliated to IndustriALL, as well as two public lawyers. They were released on bail on 31 October. The government’s use of excessive force and arrest of the peaceful demonstrators is a setback to freedom of association in Indonesia. It is also a violation of the ILO principles. </w:t>
      </w:r>
    </w:p>
    <w:p w:rsidR="00323D05" w:rsidRPr="00376DF9" w:rsidRDefault="00323D05" w:rsidP="00376DF9">
      <w:pPr>
        <w:pStyle w:val="T15TextBody"/>
      </w:pPr>
    </w:p>
    <w:p w:rsidR="00323D05" w:rsidRPr="00376DF9" w:rsidRDefault="00323D05" w:rsidP="00376DF9">
      <w:pPr>
        <w:pStyle w:val="T15TextBody"/>
      </w:pPr>
      <w:r w:rsidRPr="00376DF9">
        <w:t>The trade unions in Indonesia have justified concerns regarding the new regulation which will change the current minimum wage fixing mechanism that is based on consultation with the trade unions and a basket of basic living expenditures. The replacement of it by a unilateral bureaucratic procedure is going to destroy the well-established tradition of trade union participation in violation of the ILO convention No 131 on Minimum Wage Fixing Mechanism. The new minimum wage formula also cannot guarantee that the living expenses of the vast working population in Indonesia are met.</w:t>
      </w:r>
    </w:p>
    <w:p w:rsidR="00323D05" w:rsidRPr="00376DF9" w:rsidRDefault="00323D05" w:rsidP="00376DF9">
      <w:pPr>
        <w:pStyle w:val="T15TextBody"/>
      </w:pPr>
    </w:p>
    <w:p w:rsidR="00376DF9" w:rsidRDefault="00376DF9" w:rsidP="00376DF9">
      <w:pPr>
        <w:pStyle w:val="T15TextBody"/>
      </w:pPr>
      <w:r>
        <w:lastRenderedPageBreak/>
        <w:t>We call</w:t>
      </w:r>
      <w:r w:rsidR="00323D05" w:rsidRPr="00376DF9">
        <w:t xml:space="preserve"> upon the Indonesian government to legislate and develop a mechanism to fix the statutory minimum wage. This should be a mechanism with trade union participation in the process of setting the minimum wage, and it should ensure that the minimum wage is sufficient to ensure a decent living for workers and their dependents. </w:t>
      </w:r>
    </w:p>
    <w:p w:rsidR="00376DF9" w:rsidRDefault="00376DF9" w:rsidP="00376DF9">
      <w:pPr>
        <w:pStyle w:val="T15TextBody"/>
      </w:pPr>
    </w:p>
    <w:p w:rsidR="00376DF9" w:rsidRDefault="00323D05" w:rsidP="00376DF9">
      <w:pPr>
        <w:pStyle w:val="T15TextBody"/>
      </w:pPr>
      <w:r w:rsidRPr="00376DF9">
        <w:t xml:space="preserve">We therefore urge the Indonesian government to: </w:t>
      </w:r>
    </w:p>
    <w:p w:rsidR="00376DF9" w:rsidRDefault="00376DF9" w:rsidP="00376DF9">
      <w:pPr>
        <w:pStyle w:val="T15TextBody"/>
      </w:pPr>
      <w:r>
        <w:t>1) w</w:t>
      </w:r>
      <w:r w:rsidR="00323D05" w:rsidRPr="00376DF9">
        <w:t xml:space="preserve">ithdraw the new regulation on wages and re-negotiate a </w:t>
      </w:r>
      <w:r>
        <w:t>consensus with the trade unions;</w:t>
      </w:r>
    </w:p>
    <w:p w:rsidR="00376DF9" w:rsidRDefault="00376DF9" w:rsidP="00376DF9">
      <w:pPr>
        <w:pStyle w:val="T15TextBody"/>
      </w:pPr>
      <w:r>
        <w:t>2) d</w:t>
      </w:r>
      <w:r w:rsidR="00323D05" w:rsidRPr="00376DF9">
        <w:t>rop the charges against th</w:t>
      </w:r>
      <w:r>
        <w:t>e protesters who were arrested; and</w:t>
      </w:r>
    </w:p>
    <w:p w:rsidR="00323D05" w:rsidRDefault="00376DF9" w:rsidP="00376DF9">
      <w:pPr>
        <w:pStyle w:val="T15TextBody"/>
      </w:pPr>
      <w:r>
        <w:t>3) r</w:t>
      </w:r>
      <w:r w:rsidR="00323D05" w:rsidRPr="00376DF9">
        <w:t>efrain from police violence and prosecution against peaceful protestors in handling future labour-related demonstrations.</w:t>
      </w:r>
    </w:p>
    <w:p w:rsidR="00376DF9" w:rsidRDefault="00376DF9" w:rsidP="00376DF9">
      <w:pPr>
        <w:pStyle w:val="T15TextBody"/>
      </w:pPr>
    </w:p>
    <w:p w:rsidR="00376DF9" w:rsidRPr="00376DF9" w:rsidRDefault="00376DF9" w:rsidP="00376DF9">
      <w:pPr>
        <w:pStyle w:val="T15TextBody"/>
      </w:pPr>
      <w:r>
        <w:t>I would be grateful if you could convey these comments to your Government and let me know its response.</w:t>
      </w:r>
    </w:p>
    <w:p w:rsidR="00323D05" w:rsidRPr="00376DF9" w:rsidRDefault="00323D05" w:rsidP="00376DF9">
      <w:pPr>
        <w:pStyle w:val="T15TextBody"/>
      </w:pPr>
    </w:p>
    <w:p w:rsidR="00D564DF" w:rsidRDefault="00D564DF">
      <w:pPr>
        <w:pStyle w:val="T15TextBody"/>
      </w:pPr>
      <w:r>
        <w:t>Yours sincerely</w:t>
      </w:r>
    </w:p>
    <w:p w:rsidR="00D564DF" w:rsidRDefault="00D564DF">
      <w:pPr>
        <w:pStyle w:val="T15TextBody"/>
      </w:pPr>
    </w:p>
    <w:p w:rsidR="00D564DF" w:rsidRDefault="00376DF9">
      <w:pPr>
        <w:pStyle w:val="T15TextBody"/>
        <w:rPr>
          <w:b/>
        </w:rPr>
      </w:pPr>
      <w:r>
        <w:rPr>
          <w:b/>
        </w:rPr>
        <w:t>FRANCES O’GRADY</w:t>
      </w:r>
    </w:p>
    <w:p w:rsidR="006E0E18" w:rsidRDefault="006E0E18">
      <w:pPr>
        <w:pStyle w:val="T15TextBody"/>
      </w:pPr>
    </w:p>
    <w:p w:rsidR="00D564DF" w:rsidRDefault="00376DF9">
      <w:pPr>
        <w:pStyle w:val="T15TextBody"/>
      </w:pPr>
      <w:r>
        <w:t>General Secretary</w:t>
      </w:r>
    </w:p>
    <w:p w:rsidR="00D564DF" w:rsidRDefault="00D564DF">
      <w:pPr>
        <w:pStyle w:val="T15TextBody"/>
      </w:pPr>
    </w:p>
    <w:sectPr w:rsidR="00D564D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8" w:h="16833" w:code="9"/>
      <w:pgMar w:top="1701" w:right="720" w:bottom="1979" w:left="1440" w:header="431" w:footer="47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D05" w:rsidRDefault="00323D05">
      <w:r>
        <w:separator/>
      </w:r>
    </w:p>
  </w:endnote>
  <w:endnote w:type="continuationSeparator" w:id="0">
    <w:p w:rsidR="00323D05" w:rsidRDefault="00323D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abon">
    <w:panose1 w:val="000005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roxima Nova">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ProximaNova-Regular">
    <w:altName w:val="Proxima Nov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32" w:rsidRDefault="008C5B32">
    <w:pPr>
      <w:framePr w:wrap="around" w:vAnchor="text" w:hAnchor="margin" w:xAlign="right" w:y="1"/>
    </w:pPr>
    <w:fldSimple w:instr="PAGE  ">
      <w:r>
        <w:rPr>
          <w:noProof/>
        </w:rPr>
        <w:t>1</w:t>
      </w:r>
    </w:fldSimple>
  </w:p>
  <w:p w:rsidR="008C5B32" w:rsidRDefault="008C5B32">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32" w:rsidRDefault="008C5B32">
    <w:pPr>
      <w:tabs>
        <w:tab w:val="right" w:pos="9720"/>
      </w:tabs>
      <w:ind w:right="28"/>
    </w:pPr>
  </w:p>
  <w:p w:rsidR="008C5B32" w:rsidRDefault="008C5B32">
    <w:pPr>
      <w:tabs>
        <w:tab w:val="right" w:pos="9720"/>
      </w:tabs>
      <w:ind w:right="28"/>
    </w:pPr>
  </w:p>
  <w:p w:rsidR="008C5B32" w:rsidRDefault="008C5B32">
    <w:pPr>
      <w:tabs>
        <w:tab w:val="right" w:pos="9720"/>
      </w:tabs>
      <w:ind w:right="28"/>
      <w:rPr>
        <w:rFonts w:ascii="Frutiger 45" w:hAnsi="Frutiger 45"/>
        <w:sz w:val="18"/>
      </w:rPr>
    </w:pPr>
    <w:r>
      <w:tab/>
    </w:r>
    <w:r>
      <w:rPr>
        <w:rFonts w:ascii="Frutiger 45" w:hAnsi="Frutiger 45"/>
        <w:sz w:val="18"/>
      </w:rPr>
      <w:fldChar w:fldCharType="begin"/>
    </w:r>
    <w:r>
      <w:rPr>
        <w:rFonts w:ascii="Frutiger 45" w:hAnsi="Frutiger 45"/>
        <w:sz w:val="18"/>
      </w:rPr>
      <w:instrText xml:space="preserve"> PAGE </w:instrText>
    </w:r>
    <w:r>
      <w:rPr>
        <w:rFonts w:ascii="Frutiger 45" w:hAnsi="Frutiger 45"/>
        <w:sz w:val="18"/>
      </w:rPr>
      <w:fldChar w:fldCharType="separate"/>
    </w:r>
    <w:r w:rsidR="006E0E18">
      <w:rPr>
        <w:rFonts w:ascii="Frutiger 45" w:hAnsi="Frutiger 45"/>
        <w:noProof/>
        <w:sz w:val="18"/>
      </w:rPr>
      <w:t>2</w:t>
    </w:r>
    <w:r>
      <w:rPr>
        <w:rFonts w:ascii="Frutiger 45" w:hAnsi="Frutiger 45"/>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32" w:rsidRDefault="00376DF9">
    <w:r>
      <w:rPr>
        <w:noProof/>
        <w:snapToGrid/>
        <w:lang w:eastAsia="en-GB"/>
      </w:rPr>
      <w:drawing>
        <wp:anchor distT="0" distB="0" distL="114300" distR="114300" simplePos="0" relativeHeight="251659264" behindDoc="1" locked="1" layoutInCell="1" allowOverlap="1">
          <wp:simplePos x="0" y="0"/>
          <wp:positionH relativeFrom="column">
            <wp:posOffset>5112385</wp:posOffset>
          </wp:positionH>
          <wp:positionV relativeFrom="page">
            <wp:posOffset>9923780</wp:posOffset>
          </wp:positionV>
          <wp:extent cx="1104265" cy="342265"/>
          <wp:effectExtent l="19050" t="0" r="635" b="0"/>
          <wp:wrapNone/>
          <wp:docPr id="16" name="IIP" descr="IIP_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P" descr="IIP_LOGO 2009"/>
                  <pic:cNvPicPr>
                    <a:picLocks noChangeAspect="1" noChangeArrowheads="1"/>
                  </pic:cNvPicPr>
                </pic:nvPicPr>
                <pic:blipFill>
                  <a:blip r:embed="rId1"/>
                  <a:srcRect/>
                  <a:stretch>
                    <a:fillRect/>
                  </a:stretch>
                </pic:blipFill>
                <pic:spPr bwMode="auto">
                  <a:xfrm>
                    <a:off x="0" y="0"/>
                    <a:ext cx="1104265" cy="342265"/>
                  </a:xfrm>
                  <a:prstGeom prst="rect">
                    <a:avLst/>
                  </a:prstGeom>
                  <a:noFill/>
                  <a:ln w="9525">
                    <a:noFill/>
                    <a:miter lim="800000"/>
                    <a:headEnd/>
                    <a:tailEnd/>
                  </a:ln>
                </pic:spPr>
              </pic:pic>
            </a:graphicData>
          </a:graphic>
        </wp:anchor>
      </w:drawing>
    </w:r>
  </w:p>
  <w:p w:rsidR="008C5B32" w:rsidRDefault="00376DF9">
    <w:r>
      <w:rPr>
        <w:noProof/>
        <w:snapToGrid/>
        <w:lang w:eastAsia="en-GB"/>
      </w:rPr>
      <w:drawing>
        <wp:anchor distT="0" distB="0" distL="114300" distR="114300" simplePos="0" relativeHeight="251658240" behindDoc="0" locked="1" layoutInCell="1" allowOverlap="1">
          <wp:simplePos x="0" y="0"/>
          <wp:positionH relativeFrom="column">
            <wp:posOffset>4071620</wp:posOffset>
          </wp:positionH>
          <wp:positionV relativeFrom="page">
            <wp:posOffset>9674225</wp:posOffset>
          </wp:positionV>
          <wp:extent cx="845185" cy="668655"/>
          <wp:effectExtent l="19050" t="0" r="0" b="0"/>
          <wp:wrapSquare wrapText="bothSides"/>
          <wp:docPr id="15" name="LivingWage"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ingWage" descr="LW_logo_employer_rgb"/>
                  <pic:cNvPicPr>
                    <a:picLocks noChangeAspect="1" noChangeArrowheads="1"/>
                  </pic:cNvPicPr>
                </pic:nvPicPr>
                <pic:blipFill>
                  <a:blip r:embed="rId2"/>
                  <a:srcRect/>
                  <a:stretch>
                    <a:fillRect/>
                  </a:stretch>
                </pic:blipFill>
                <pic:spPr bwMode="auto">
                  <a:xfrm>
                    <a:off x="0" y="0"/>
                    <a:ext cx="845185" cy="66865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D05" w:rsidRDefault="00323D05">
      <w:r>
        <w:separator/>
      </w:r>
    </w:p>
  </w:footnote>
  <w:footnote w:type="continuationSeparator" w:id="0">
    <w:p w:rsidR="00323D05" w:rsidRDefault="00323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32" w:rsidRDefault="008C5B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32" w:rsidRDefault="00376DF9">
    <w:r>
      <w:rPr>
        <w:noProof/>
        <w:snapToGrid/>
        <w:lang w:eastAsia="en-GB"/>
      </w:rPr>
      <w:drawing>
        <wp:anchor distT="0" distB="0" distL="114300" distR="114300" simplePos="0" relativeHeight="251656192" behindDoc="0" locked="1" layoutInCell="1" allowOverlap="1">
          <wp:simplePos x="0" y="0"/>
          <wp:positionH relativeFrom="page">
            <wp:posOffset>6135370</wp:posOffset>
          </wp:positionH>
          <wp:positionV relativeFrom="page">
            <wp:posOffset>431800</wp:posOffset>
          </wp:positionV>
          <wp:extent cx="978535" cy="548640"/>
          <wp:effectExtent l="19050" t="0" r="0" b="0"/>
          <wp:wrapTopAndBottom/>
          <wp:docPr id="2" name="NextPageLogo" hidden="1">
            <a:hlinkClick xmlns:a="http://schemas.openxmlformats.org/drawingml/2006/main" r:id="rId1"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tPageLogo" hidden="1">
                    <a:hlinkClick r:id="rId1" tooltip="Link to: TUC homepage"/>
                  </pic:cNvPr>
                  <pic:cNvPicPr>
                    <a:picLocks noChangeAspect="1" noChangeArrowheads="1"/>
                  </pic:cNvPicPr>
                </pic:nvPicPr>
                <pic:blipFill>
                  <a:blip r:embed="rId2"/>
                  <a:srcRect/>
                  <a:stretch>
                    <a:fillRect/>
                  </a:stretch>
                </pic:blipFill>
                <pic:spPr bwMode="auto">
                  <a:xfrm>
                    <a:off x="0" y="0"/>
                    <a:ext cx="978535" cy="54864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32" w:rsidRDefault="00376DF9">
    <w:r>
      <w:rPr>
        <w:noProof/>
        <w:snapToGrid/>
        <w:lang w:eastAsia="en-GB"/>
      </w:rPr>
      <w:drawing>
        <wp:anchor distT="0" distB="0" distL="114300" distR="114300" simplePos="0" relativeHeight="251657216" behindDoc="1" locked="1" layoutInCell="1" allowOverlap="1">
          <wp:simplePos x="0" y="0"/>
          <wp:positionH relativeFrom="page">
            <wp:posOffset>838200</wp:posOffset>
          </wp:positionH>
          <wp:positionV relativeFrom="page">
            <wp:posOffset>1403985</wp:posOffset>
          </wp:positionV>
          <wp:extent cx="1705610" cy="295275"/>
          <wp:effectExtent l="19050" t="0" r="8890" b="0"/>
          <wp:wrapNone/>
          <wp:docPr id="5" name="shpTUC_blu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TUC_blue" hidden="1"/>
                  <pic:cNvPicPr>
                    <a:picLocks noChangeAspect="1" noChangeArrowheads="1"/>
                  </pic:cNvPicPr>
                </pic:nvPicPr>
                <pic:blipFill>
                  <a:blip r:embed="rId1"/>
                  <a:srcRect/>
                  <a:stretch>
                    <a:fillRect/>
                  </a:stretch>
                </pic:blipFill>
                <pic:spPr bwMode="auto">
                  <a:xfrm>
                    <a:off x="0" y="0"/>
                    <a:ext cx="1705610" cy="2952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BE12D2"/>
    <w:lvl w:ilvl="0">
      <w:start w:val="1"/>
      <w:numFmt w:val="decimal"/>
      <w:pStyle w:val="Normal"/>
      <w:lvlText w:val="%1."/>
      <w:lvlJc w:val="left"/>
      <w:pPr>
        <w:tabs>
          <w:tab w:val="num" w:pos="1492"/>
        </w:tabs>
        <w:ind w:left="1492" w:hanging="360"/>
      </w:pPr>
    </w:lvl>
  </w:abstractNum>
  <w:abstractNum w:abstractNumId="1">
    <w:nsid w:val="FFFFFF7D"/>
    <w:multiLevelType w:val="singleLevel"/>
    <w:tmpl w:val="031C848A"/>
    <w:lvl w:ilvl="0">
      <w:start w:val="1"/>
      <w:numFmt w:val="decimal"/>
      <w:lvlText w:val="%1."/>
      <w:lvlJc w:val="left"/>
      <w:pPr>
        <w:tabs>
          <w:tab w:val="num" w:pos="1209"/>
        </w:tabs>
        <w:ind w:left="1209" w:hanging="360"/>
      </w:pPr>
    </w:lvl>
  </w:abstractNum>
  <w:abstractNum w:abstractNumId="2">
    <w:nsid w:val="FFFFFF7E"/>
    <w:multiLevelType w:val="singleLevel"/>
    <w:tmpl w:val="CCA8D41E"/>
    <w:lvl w:ilvl="0">
      <w:start w:val="1"/>
      <w:numFmt w:val="decimal"/>
      <w:pStyle w:val="Normal"/>
      <w:lvlText w:val="%1."/>
      <w:lvlJc w:val="left"/>
      <w:pPr>
        <w:tabs>
          <w:tab w:val="num" w:pos="926"/>
        </w:tabs>
        <w:ind w:left="926" w:hanging="360"/>
      </w:pPr>
    </w:lvl>
  </w:abstractNum>
  <w:abstractNum w:abstractNumId="3">
    <w:nsid w:val="FFFFFF7F"/>
    <w:multiLevelType w:val="singleLevel"/>
    <w:tmpl w:val="10D8AE9A"/>
    <w:lvl w:ilvl="0">
      <w:start w:val="1"/>
      <w:numFmt w:val="decimal"/>
      <w:pStyle w:val="Normal"/>
      <w:lvlText w:val="%1."/>
      <w:lvlJc w:val="left"/>
      <w:pPr>
        <w:tabs>
          <w:tab w:val="num" w:pos="643"/>
        </w:tabs>
        <w:ind w:left="643" w:hanging="360"/>
      </w:pPr>
    </w:lvl>
  </w:abstractNum>
  <w:abstractNum w:abstractNumId="4">
    <w:nsid w:val="FFFFFF80"/>
    <w:multiLevelType w:val="singleLevel"/>
    <w:tmpl w:val="65A038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9924B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73085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0C14DA"/>
    <w:lvl w:ilvl="0">
      <w:start w:val="1"/>
      <w:numFmt w:val="bullet"/>
      <w:pStyle w:val="Normal"/>
      <w:lvlText w:val=""/>
      <w:lvlJc w:val="left"/>
      <w:pPr>
        <w:tabs>
          <w:tab w:val="num" w:pos="643"/>
        </w:tabs>
        <w:ind w:left="643" w:hanging="360"/>
      </w:pPr>
      <w:rPr>
        <w:rFonts w:ascii="Symbol" w:hAnsi="Symbol" w:hint="default"/>
      </w:rPr>
    </w:lvl>
  </w:abstractNum>
  <w:abstractNum w:abstractNumId="8">
    <w:nsid w:val="FFFFFF88"/>
    <w:multiLevelType w:val="singleLevel"/>
    <w:tmpl w:val="13E8FE50"/>
    <w:lvl w:ilvl="0">
      <w:start w:val="1"/>
      <w:numFmt w:val="decimal"/>
      <w:pStyle w:val="Heading2"/>
      <w:lvlText w:val="%1."/>
      <w:lvlJc w:val="left"/>
      <w:pPr>
        <w:tabs>
          <w:tab w:val="num" w:pos="360"/>
        </w:tabs>
        <w:ind w:left="360" w:hanging="360"/>
      </w:pPr>
    </w:lvl>
  </w:abstractNum>
  <w:abstractNum w:abstractNumId="9">
    <w:nsid w:val="FFFFFF89"/>
    <w:multiLevelType w:val="singleLevel"/>
    <w:tmpl w:val="82A0BCF6"/>
    <w:lvl w:ilvl="0">
      <w:start w:val="1"/>
      <w:numFmt w:val="bullet"/>
      <w:pStyle w:val="Heading8"/>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attachedTemplate r:id="rId1"/>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376DF9"/>
    <w:rsid w:val="00006D61"/>
    <w:rsid w:val="002E7D85"/>
    <w:rsid w:val="00323D05"/>
    <w:rsid w:val="00376DF9"/>
    <w:rsid w:val="00566D6D"/>
    <w:rsid w:val="005E183E"/>
    <w:rsid w:val="006E0E18"/>
    <w:rsid w:val="008C5B32"/>
    <w:rsid w:val="00D564DF"/>
    <w:rsid w:val="00DC1219"/>
    <w:rsid w:val="00E96B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0"/>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E96B93"/>
    <w:pPr>
      <w:widowControl w:val="0"/>
    </w:pPr>
    <w:rPr>
      <w:rFonts w:ascii="Minion Pro" w:hAnsi="Minion Pro"/>
      <w:snapToGrid w:val="0"/>
      <w:sz w:val="24"/>
      <w:lang w:eastAsia="en-US"/>
    </w:rPr>
  </w:style>
  <w:style w:type="paragraph" w:styleId="Heading1">
    <w:name w:val="heading 1"/>
    <w:basedOn w:val="Normal"/>
    <w:next w:val="Normal"/>
    <w:semiHidden/>
    <w:qFormat/>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pPr>
      <w:keepNext/>
      <w:spacing w:before="240" w:after="60"/>
      <w:outlineLvl w:val="2"/>
    </w:pPr>
    <w:rPr>
      <w:rFonts w:ascii="Arial" w:hAnsi="Arial" w:cs="Arial"/>
      <w:b/>
      <w:bCs/>
      <w:sz w:val="26"/>
      <w:szCs w:val="26"/>
    </w:rPr>
  </w:style>
  <w:style w:type="paragraph" w:styleId="Heading4">
    <w:name w:val="heading 4"/>
    <w:basedOn w:val="Normal"/>
    <w:next w:val="Normal"/>
    <w:semiHidden/>
    <w:qFormat/>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pPr>
      <w:spacing w:before="240" w:after="60"/>
      <w:outlineLvl w:val="4"/>
    </w:pPr>
    <w:rPr>
      <w:rFonts w:ascii="Sabon" w:hAnsi="Sabon"/>
      <w:b/>
      <w:bCs/>
      <w:i/>
      <w:iCs/>
      <w:sz w:val="26"/>
      <w:szCs w:val="26"/>
    </w:rPr>
  </w:style>
  <w:style w:type="paragraph" w:styleId="Heading6">
    <w:name w:val="heading 6"/>
    <w:basedOn w:val="Normal"/>
    <w:next w:val="Normal"/>
    <w:semiHidden/>
    <w:qFormat/>
    <w:pPr>
      <w:spacing w:before="240" w:after="60"/>
      <w:outlineLvl w:val="5"/>
    </w:pPr>
    <w:rPr>
      <w:rFonts w:ascii="Times New Roman" w:hAnsi="Times New Roman"/>
      <w:b/>
      <w:bCs/>
      <w:sz w:val="22"/>
      <w:szCs w:val="22"/>
    </w:rPr>
  </w:style>
  <w:style w:type="paragraph" w:styleId="Heading7">
    <w:name w:val="heading 7"/>
    <w:basedOn w:val="Normal"/>
    <w:next w:val="Normal"/>
    <w:semiHidden/>
    <w:qFormat/>
    <w:pPr>
      <w:spacing w:before="240" w:after="60"/>
      <w:outlineLvl w:val="6"/>
    </w:pPr>
    <w:rPr>
      <w:rFonts w:ascii="Times New Roman" w:hAnsi="Times New Roman"/>
      <w:szCs w:val="24"/>
    </w:rPr>
  </w:style>
  <w:style w:type="paragraph" w:styleId="Heading8">
    <w:name w:val="heading 8"/>
    <w:basedOn w:val="Normal"/>
    <w:next w:val="Normal"/>
    <w:semiHidden/>
    <w:qFormat/>
    <w:pPr>
      <w:spacing w:before="240" w:after="60"/>
      <w:outlineLvl w:val="7"/>
    </w:pPr>
    <w:rPr>
      <w:rFonts w:ascii="Times New Roman" w:hAnsi="Times New Roman"/>
      <w:i/>
      <w:iCs/>
      <w:szCs w:val="24"/>
    </w:rPr>
  </w:style>
  <w:style w:type="paragraph" w:styleId="Heading9">
    <w:name w:val="heading 9"/>
    <w:basedOn w:val="Normal"/>
    <w:next w:val="Normal"/>
    <w:semiHidden/>
    <w:qFormat/>
    <w:pPr>
      <w:spacing w:before="240" w:after="60"/>
      <w:outlineLvl w:val="8"/>
    </w:pPr>
    <w:rPr>
      <w:rFonts w:ascii="Arial" w:hAnsi="Arial" w:cs="Arial"/>
      <w:sz w:val="22"/>
      <w:szCs w:val="22"/>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T15TextBody">
    <w:name w:val="T15TextBody"/>
    <w:basedOn w:val="Normal"/>
    <w:qFormat/>
    <w:pPr>
      <w:widowControl/>
    </w:pPr>
    <w:rPr>
      <w:snapToGrid/>
    </w:rPr>
  </w:style>
  <w:style w:type="paragraph" w:customStyle="1" w:styleId="T15SubjectHeader">
    <w:name w:val="T15SubjectHeader"/>
    <w:basedOn w:val="T15TextBody"/>
    <w:next w:val="T15TextBody"/>
    <w:qFormat/>
    <w:pPr>
      <w:keepNext/>
      <w:spacing w:after="360"/>
    </w:pPr>
    <w:rPr>
      <w:rFonts w:ascii="Segoe UI" w:hAnsi="Segoe UI" w:cs="Segoe UI"/>
      <w:b/>
    </w:rPr>
  </w:style>
  <w:style w:type="paragraph" w:customStyle="1" w:styleId="T15ContactsDescriptors">
    <w:name w:val="T15ContactsDescriptors"/>
    <w:basedOn w:val="T15TextBody"/>
    <w:pPr>
      <w:tabs>
        <w:tab w:val="left" w:pos="900"/>
      </w:tabs>
      <w:spacing w:line="320" w:lineRule="exact"/>
    </w:pPr>
    <w:rPr>
      <w:sz w:val="16"/>
    </w:rPr>
  </w:style>
  <w:style w:type="character" w:customStyle="1" w:styleId="T15Contacts">
    <w:name w:val="T15Contacts"/>
    <w:rPr>
      <w:rFonts w:ascii="Minion Pro" w:hAnsi="Minion Pro"/>
      <w:sz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T15Footer">
    <w:name w:val="T15Footer"/>
    <w:basedOn w:val="T15TextBody"/>
    <w:qFormat/>
    <w:rPr>
      <w:rFonts w:cs="Segoe UI"/>
      <w:noProof/>
      <w:color w:val="333399"/>
      <w:sz w:val="16"/>
    </w:rPr>
  </w:style>
  <w:style w:type="paragraph" w:styleId="Header">
    <w:name w:val="header"/>
    <w:basedOn w:val="Normal"/>
    <w:semiHidden/>
    <w:pPr>
      <w:tabs>
        <w:tab w:val="center" w:pos="4153"/>
        <w:tab w:val="right" w:pos="8306"/>
      </w:tabs>
    </w:pPr>
  </w:style>
  <w:style w:type="paragraph" w:customStyle="1" w:styleId="Letter-Salutation">
    <w:name w:val="Letter - Salutation"/>
    <w:basedOn w:val="Normal"/>
    <w:qFormat/>
    <w:rsid w:val="00323D05"/>
    <w:pPr>
      <w:autoSpaceDE w:val="0"/>
      <w:autoSpaceDN w:val="0"/>
      <w:adjustRightInd w:val="0"/>
      <w:spacing w:after="240" w:line="220" w:lineRule="atLeast"/>
      <w:jc w:val="both"/>
      <w:textAlignment w:val="center"/>
    </w:pPr>
    <w:rPr>
      <w:rFonts w:ascii="Proxima Nova" w:eastAsiaTheme="minorHAnsi" w:hAnsi="Proxima Nova" w:cs="ProximaNova-Regular"/>
      <w:snapToGrid/>
      <w:color w:val="000000"/>
      <w:sz w:val="20"/>
    </w:rPr>
  </w:style>
  <w:style w:type="paragraph" w:styleId="BalloonText">
    <w:name w:val="Balloon Text"/>
    <w:basedOn w:val="Normal"/>
    <w:link w:val="BalloonTextChar"/>
    <w:uiPriority w:val="99"/>
    <w:semiHidden/>
    <w:unhideWhenUsed/>
    <w:rsid w:val="006E0E18"/>
    <w:rPr>
      <w:rFonts w:ascii="Tahoma" w:hAnsi="Tahoma" w:cs="Tahoma"/>
      <w:sz w:val="16"/>
      <w:szCs w:val="16"/>
    </w:rPr>
  </w:style>
  <w:style w:type="character" w:customStyle="1" w:styleId="BalloonTextChar">
    <w:name w:val="Balloon Text Char"/>
    <w:basedOn w:val="DefaultParagraphFont"/>
    <w:link w:val="BalloonText"/>
    <w:uiPriority w:val="99"/>
    <w:semiHidden/>
    <w:rsid w:val="006E0E18"/>
    <w:rPr>
      <w:rFonts w:ascii="Tahoma" w:hAnsi="Tahoma" w:cs="Tahoma"/>
      <w:snapToGrid w:val="0"/>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tuc.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hyperlink" Target="http://www.tuc.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ew%20templates%202015\T1%20E-Letter%20and%20Letter%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T1 E-Letter and Letter FINAL</Template>
  <TotalTime>34</TotalTime>
  <Pages>2</Pages>
  <Words>483</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3072</CharactersWithSpaces>
  <SharedDoc>false</SharedDoc>
  <HLinks>
    <vt:vector size="18" baseType="variant">
      <vt:variant>
        <vt:i4>7209020</vt:i4>
      </vt:variant>
      <vt:variant>
        <vt:i4>0</vt:i4>
      </vt:variant>
      <vt:variant>
        <vt:i4>0</vt:i4>
      </vt:variant>
      <vt:variant>
        <vt:i4>5</vt:i4>
      </vt:variant>
      <vt:variant>
        <vt:lpwstr>http://www.tuc.org.uk/</vt:lpwstr>
      </vt:variant>
      <vt:variant>
        <vt:lpwstr/>
      </vt:variant>
      <vt:variant>
        <vt:i4>7209020</vt:i4>
      </vt:variant>
      <vt:variant>
        <vt:i4>-1</vt:i4>
      </vt:variant>
      <vt:variant>
        <vt:i4>2050</vt:i4>
      </vt:variant>
      <vt:variant>
        <vt:i4>4</vt:i4>
      </vt:variant>
      <vt:variant>
        <vt:lpwstr>http://www.tuc.org.uk/</vt:lpwstr>
      </vt:variant>
      <vt:variant>
        <vt:lpwstr/>
      </vt:variant>
      <vt:variant>
        <vt:i4>7209020</vt:i4>
      </vt:variant>
      <vt:variant>
        <vt:i4>-1</vt:i4>
      </vt:variant>
      <vt:variant>
        <vt:i4>1026</vt:i4>
      </vt:variant>
      <vt:variant>
        <vt:i4>4</vt:i4>
      </vt:variant>
      <vt:variant>
        <vt:lpwstr>http://www.tuc.org.uk/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tudoro</cp:lastModifiedBy>
  <cp:revision>2</cp:revision>
  <cp:lastPrinted>2012-12-19T13:20:00Z</cp:lastPrinted>
  <dcterms:created xsi:type="dcterms:W3CDTF">2015-11-04T17:18:00Z</dcterms:created>
  <dcterms:modified xsi:type="dcterms:W3CDTF">2015-11-04T17:52:00Z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C_Sabon_55">
    <vt:lpwstr>T15ContactsDescriptors</vt:lpwstr>
  </property>
  <property fmtid="{D5CDD505-2E9C-101B-9397-08002B2CF9AE}" pid="3" name="TUC_Sabon_56">
    <vt:lpwstr>T15TextBody</vt:lpwstr>
  </property>
  <property fmtid="{D5CDD505-2E9C-101B-9397-08002B2CF9AE}" pid="4" name="TUC_Sabon_1">
    <vt:lpwstr>Block Text</vt:lpwstr>
  </property>
  <property fmtid="{D5CDD505-2E9C-101B-9397-08002B2CF9AE}" pid="5" name="TUC_Sabon_2">
    <vt:lpwstr>Body Text</vt:lpwstr>
  </property>
  <property fmtid="{D5CDD505-2E9C-101B-9397-08002B2CF9AE}" pid="6" name="TUC_Sabon_3">
    <vt:lpwstr>Body Text 2</vt:lpwstr>
  </property>
  <property fmtid="{D5CDD505-2E9C-101B-9397-08002B2CF9AE}" pid="7" name="TUC_Sabon_4">
    <vt:lpwstr>Body Text 3</vt:lpwstr>
  </property>
  <property fmtid="{D5CDD505-2E9C-101B-9397-08002B2CF9AE}" pid="8" name="TUC_Sabon_5">
    <vt:lpwstr>Body Text First Indent 2</vt:lpwstr>
  </property>
  <property fmtid="{D5CDD505-2E9C-101B-9397-08002B2CF9AE}" pid="9" name="TUC_Sabon_6">
    <vt:lpwstr>Body Text Indent</vt:lpwstr>
  </property>
  <property fmtid="{D5CDD505-2E9C-101B-9397-08002B2CF9AE}" pid="10" name="TUC_Sabon_7">
    <vt:lpwstr>Body Text Indent 2</vt:lpwstr>
  </property>
  <property fmtid="{D5CDD505-2E9C-101B-9397-08002B2CF9AE}" pid="11" name="TUC_Sabon_8">
    <vt:lpwstr>Body Text Indent 3</vt:lpwstr>
  </property>
  <property fmtid="{D5CDD505-2E9C-101B-9397-08002B2CF9AE}" pid="12" name="TUC_Sabon_9">
    <vt:lpwstr>Caption</vt:lpwstr>
  </property>
  <property fmtid="{D5CDD505-2E9C-101B-9397-08002B2CF9AE}" pid="13" name="TUC_Sabon_10">
    <vt:lpwstr>Closing</vt:lpwstr>
  </property>
  <property fmtid="{D5CDD505-2E9C-101B-9397-08002B2CF9AE}" pid="14" name="TUC_Sabon_11">
    <vt:lpwstr>Comment Reference</vt:lpwstr>
  </property>
  <property fmtid="{D5CDD505-2E9C-101B-9397-08002B2CF9AE}" pid="15" name="TUC_Sabon_12">
    <vt:lpwstr>Comment Text</vt:lpwstr>
  </property>
  <property fmtid="{D5CDD505-2E9C-101B-9397-08002B2CF9AE}" pid="16" name="TUC_Sabon_13">
    <vt:lpwstr>Date</vt:lpwstr>
  </property>
  <property fmtid="{D5CDD505-2E9C-101B-9397-08002B2CF9AE}" pid="17" name="TUC_Sabon_14">
    <vt:lpwstr>Default Paragraph Font</vt:lpwstr>
  </property>
  <property fmtid="{D5CDD505-2E9C-101B-9397-08002B2CF9AE}" pid="18" name="TUC_Sabon_15">
    <vt:lpwstr>E-mail Signature</vt:lpwstr>
  </property>
  <property fmtid="{D5CDD505-2E9C-101B-9397-08002B2CF9AE}" pid="19" name="TUC_Sabon_16">
    <vt:lpwstr>Endnote Text</vt:lpwstr>
  </property>
  <property fmtid="{D5CDD505-2E9C-101B-9397-08002B2CF9AE}" pid="20" name="TUC_Sabon_17">
    <vt:lpwstr>Footer</vt:lpwstr>
  </property>
  <property fmtid="{D5CDD505-2E9C-101B-9397-08002B2CF9AE}" pid="21" name="TUC_Sabon_18">
    <vt:lpwstr>Footnote Reference</vt:lpwstr>
  </property>
  <property fmtid="{D5CDD505-2E9C-101B-9397-08002B2CF9AE}" pid="22" name="TUC_Sabon_19">
    <vt:lpwstr>Footnote Text</vt:lpwstr>
  </property>
  <property fmtid="{D5CDD505-2E9C-101B-9397-08002B2CF9AE}" pid="23" name="TUC_Sabon_20">
    <vt:lpwstr>Header</vt:lpwstr>
  </property>
  <property fmtid="{D5CDD505-2E9C-101B-9397-08002B2CF9AE}" pid="24" name="TUC_Sabon_21">
    <vt:lpwstr>Heading 5</vt:lpwstr>
  </property>
  <property fmtid="{D5CDD505-2E9C-101B-9397-08002B2CF9AE}" pid="25" name="TUC_Sabon_22">
    <vt:lpwstr>HTML Address</vt:lpwstr>
  </property>
  <property fmtid="{D5CDD505-2E9C-101B-9397-08002B2CF9AE}" pid="26" name="TUC_Sabon_23">
    <vt:lpwstr>Index 1</vt:lpwstr>
  </property>
  <property fmtid="{D5CDD505-2E9C-101B-9397-08002B2CF9AE}" pid="27" name="TUC_Sabon_24">
    <vt:lpwstr>Index 2</vt:lpwstr>
  </property>
  <property fmtid="{D5CDD505-2E9C-101B-9397-08002B2CF9AE}" pid="28" name="TUC_Sabon_25">
    <vt:lpwstr>Index 3</vt:lpwstr>
  </property>
  <property fmtid="{D5CDD505-2E9C-101B-9397-08002B2CF9AE}" pid="29" name="TUC_Sabon_26">
    <vt:lpwstr>Index 4</vt:lpwstr>
  </property>
  <property fmtid="{D5CDD505-2E9C-101B-9397-08002B2CF9AE}" pid="30" name="TUC_Sabon_27">
    <vt:lpwstr>Index 5</vt:lpwstr>
  </property>
  <property fmtid="{D5CDD505-2E9C-101B-9397-08002B2CF9AE}" pid="31" name="TUC_Sabon_28">
    <vt:lpwstr>Index 6</vt:lpwstr>
  </property>
  <property fmtid="{D5CDD505-2E9C-101B-9397-08002B2CF9AE}" pid="32" name="TUC_Sabon_29">
    <vt:lpwstr>Index 7</vt:lpwstr>
  </property>
  <property fmtid="{D5CDD505-2E9C-101B-9397-08002B2CF9AE}" pid="33" name="TUC_Sabon_30">
    <vt:lpwstr>Index 8</vt:lpwstr>
  </property>
  <property fmtid="{D5CDD505-2E9C-101B-9397-08002B2CF9AE}" pid="34" name="TUC_Sabon_31">
    <vt:lpwstr>Index 9</vt:lpwstr>
  </property>
  <property fmtid="{D5CDD505-2E9C-101B-9397-08002B2CF9AE}" pid="35" name="TUC_Sabon_32">
    <vt:lpwstr>List</vt:lpwstr>
  </property>
  <property fmtid="{D5CDD505-2E9C-101B-9397-08002B2CF9AE}" pid="36" name="TUC_Sabon_33">
    <vt:lpwstr>List 2</vt:lpwstr>
  </property>
  <property fmtid="{D5CDD505-2E9C-101B-9397-08002B2CF9AE}" pid="37" name="TUC_Sabon_34">
    <vt:lpwstr>List 3</vt:lpwstr>
  </property>
  <property fmtid="{D5CDD505-2E9C-101B-9397-08002B2CF9AE}" pid="38" name="TUC_Sabon_35">
    <vt:lpwstr>List 4</vt:lpwstr>
  </property>
  <property fmtid="{D5CDD505-2E9C-101B-9397-08002B2CF9AE}" pid="39" name="TUC_Sabon_36">
    <vt:lpwstr>List 5</vt:lpwstr>
  </property>
  <property fmtid="{D5CDD505-2E9C-101B-9397-08002B2CF9AE}" pid="40" name="TUC_Sabon_37">
    <vt:lpwstr>List Bullet</vt:lpwstr>
  </property>
  <property fmtid="{D5CDD505-2E9C-101B-9397-08002B2CF9AE}" pid="41" name="TUC_Sabon_38">
    <vt:lpwstr>List Bullet 2</vt:lpwstr>
  </property>
  <property fmtid="{D5CDD505-2E9C-101B-9397-08002B2CF9AE}" pid="42" name="TUC_Sabon_39">
    <vt:lpwstr>List Bullet 3</vt:lpwstr>
  </property>
  <property fmtid="{D5CDD505-2E9C-101B-9397-08002B2CF9AE}" pid="43" name="TUC_Sabon_40">
    <vt:lpwstr>List Bullet 4</vt:lpwstr>
  </property>
  <property fmtid="{D5CDD505-2E9C-101B-9397-08002B2CF9AE}" pid="44" name="TUC_Sabon_41">
    <vt:lpwstr>List Bullet 5</vt:lpwstr>
  </property>
  <property fmtid="{D5CDD505-2E9C-101B-9397-08002B2CF9AE}" pid="45" name="TUC_Sabon_42">
    <vt:lpwstr>List Continue</vt:lpwstr>
  </property>
  <property fmtid="{D5CDD505-2E9C-101B-9397-08002B2CF9AE}" pid="46" name="TUC_Sabon_43">
    <vt:lpwstr>List Continue 2</vt:lpwstr>
  </property>
  <property fmtid="{D5CDD505-2E9C-101B-9397-08002B2CF9AE}" pid="47" name="TUC_Sabon_44">
    <vt:lpwstr>List Continue 3</vt:lpwstr>
  </property>
  <property fmtid="{D5CDD505-2E9C-101B-9397-08002B2CF9AE}" pid="48" name="TUC_Sabon_45">
    <vt:lpwstr>List Continue 4</vt:lpwstr>
  </property>
  <property fmtid="{D5CDD505-2E9C-101B-9397-08002B2CF9AE}" pid="49" name="TUC_Sabon_46">
    <vt:lpwstr>List Continue 5</vt:lpwstr>
  </property>
  <property fmtid="{D5CDD505-2E9C-101B-9397-08002B2CF9AE}" pid="50" name="TUC_Sabon_47">
    <vt:lpwstr>List Number</vt:lpwstr>
  </property>
  <property fmtid="{D5CDD505-2E9C-101B-9397-08002B2CF9AE}" pid="51" name="TUC_Sabon_48">
    <vt:lpwstr>List Number 2</vt:lpwstr>
  </property>
  <property fmtid="{D5CDD505-2E9C-101B-9397-08002B2CF9AE}" pid="52" name="TUC_Sabon_49">
    <vt:lpwstr>List Number 3</vt:lpwstr>
  </property>
  <property fmtid="{D5CDD505-2E9C-101B-9397-08002B2CF9AE}" pid="53" name="TUC_Sabon_50">
    <vt:lpwstr>List Number 4</vt:lpwstr>
  </property>
  <property fmtid="{D5CDD505-2E9C-101B-9397-08002B2CF9AE}" pid="54" name="TUC_Sabon_51">
    <vt:lpwstr>List Number 5</vt:lpwstr>
  </property>
  <property fmtid="{D5CDD505-2E9C-101B-9397-08002B2CF9AE}" pid="55" name="TUC_Sabon_52">
    <vt:lpwstr>Normal</vt:lpwstr>
  </property>
  <property fmtid="{D5CDD505-2E9C-101B-9397-08002B2CF9AE}" pid="56" name="TUC_Sabon_53">
    <vt:lpwstr>T15ContactsDescriptors</vt:lpwstr>
  </property>
  <property fmtid="{D5CDD505-2E9C-101B-9397-08002B2CF9AE}" pid="57" name="TUC_Sabon_54">
    <vt:lpwstr>T15TextBody</vt:lpwstr>
  </property>
</Properties>
</file>