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B2CC" w14:textId="77777777" w:rsidR="00E0060A" w:rsidRPr="00547452" w:rsidRDefault="00E0060A" w:rsidP="00E0060A">
      <w:pPr>
        <w:rPr>
          <w:rFonts w:eastAsia="Calibri"/>
        </w:rPr>
      </w:pPr>
    </w:p>
    <w:p w14:paraId="19072D41" w14:textId="77777777" w:rsidR="00802245" w:rsidRPr="00547452" w:rsidRDefault="00802245" w:rsidP="00FA7509">
      <w:pPr>
        <w:pStyle w:val="T4bodytext"/>
        <w:rPr>
          <w:rFonts w:eastAsia="Calibri"/>
        </w:rPr>
      </w:pPr>
    </w:p>
    <w:p w14:paraId="435FD4E1" w14:textId="77777777" w:rsidR="00947185" w:rsidRPr="00547452" w:rsidRDefault="00947185" w:rsidP="00FA7509">
      <w:pPr>
        <w:pStyle w:val="T4bodytext"/>
        <w:rPr>
          <w:rFonts w:eastAsia="Calibri"/>
        </w:rPr>
      </w:pPr>
    </w:p>
    <w:p w14:paraId="4E769367" w14:textId="77777777" w:rsidR="00947185" w:rsidRPr="00547452" w:rsidRDefault="00947185" w:rsidP="00FA7509">
      <w:pPr>
        <w:pStyle w:val="T4bodytext"/>
        <w:rPr>
          <w:rFonts w:eastAsia="Calibri"/>
        </w:rPr>
      </w:pPr>
    </w:p>
    <w:p w14:paraId="3601C430" w14:textId="77777777" w:rsidR="00947185" w:rsidRPr="00547452" w:rsidRDefault="00947185" w:rsidP="00FA7509">
      <w:pPr>
        <w:pStyle w:val="T4bodytext"/>
        <w:rPr>
          <w:rFonts w:eastAsia="Calibri"/>
        </w:rPr>
      </w:pPr>
    </w:p>
    <w:p w14:paraId="6D32EC84" w14:textId="762E8901" w:rsidR="00755E2B" w:rsidRDefault="007E5319" w:rsidP="0042382E">
      <w:pPr>
        <w:pStyle w:val="T4bodytext"/>
        <w:rPr>
          <w:rStyle w:val="T4boldtext"/>
          <w:rFonts w:eastAsia="Calibri"/>
        </w:rPr>
      </w:pPr>
      <w:r>
        <w:rPr>
          <w:rStyle w:val="T4boldtext"/>
          <w:rFonts w:eastAsia="Calibri"/>
        </w:rPr>
        <w:t>Fair Pay for Key Workers –</w:t>
      </w:r>
      <w:r w:rsidR="005B2CD0">
        <w:rPr>
          <w:rStyle w:val="T4boldtext"/>
          <w:rFonts w:eastAsia="Calibri"/>
        </w:rPr>
        <w:t xml:space="preserve"> </w:t>
      </w:r>
      <w:r>
        <w:rPr>
          <w:rStyle w:val="T4boldtext"/>
          <w:rFonts w:eastAsia="Calibri"/>
        </w:rPr>
        <w:t>Briefing</w:t>
      </w:r>
      <w:r w:rsidR="00755E2B">
        <w:rPr>
          <w:rStyle w:val="T4boldtext"/>
          <w:rFonts w:eastAsia="Calibri"/>
        </w:rPr>
        <w:t xml:space="preserve"> for </w:t>
      </w:r>
      <w:r w:rsidR="0052641C">
        <w:rPr>
          <w:rStyle w:val="T4boldtext"/>
          <w:rFonts w:eastAsia="Calibri"/>
        </w:rPr>
        <w:t xml:space="preserve">Rishi Sunak </w:t>
      </w:r>
      <w:r w:rsidR="00755E2B">
        <w:rPr>
          <w:rStyle w:val="T4boldtext"/>
          <w:rFonts w:eastAsia="Calibri"/>
        </w:rPr>
        <w:t xml:space="preserve">MP for </w:t>
      </w:r>
      <w:r w:rsidR="00A04F6C" w:rsidRPr="00A04F6C">
        <w:rPr>
          <w:rStyle w:val="T4boldtext"/>
          <w:rFonts w:eastAsia="Calibri"/>
        </w:rPr>
        <w:t>Richmond (Yorkshire)</w:t>
      </w:r>
    </w:p>
    <w:p w14:paraId="2B984E5A" w14:textId="1EE5BD8F" w:rsidR="00677739" w:rsidRDefault="00B32CB9" w:rsidP="00655086">
      <w:pPr>
        <w:pStyle w:val="T4bodytext"/>
        <w:rPr>
          <w:rStyle w:val="T4boldtext"/>
          <w:rFonts w:eastAsia="Calibri"/>
        </w:rPr>
      </w:pPr>
      <w:r>
        <w:rPr>
          <w:rStyle w:val="T4boldtext"/>
          <w:rFonts w:eastAsia="Calibri"/>
        </w:rPr>
        <w:t xml:space="preserve">September </w:t>
      </w:r>
      <w:r w:rsidR="00AA5E06">
        <w:rPr>
          <w:rStyle w:val="T4boldtext"/>
          <w:rFonts w:eastAsia="Calibri"/>
        </w:rPr>
        <w:t>202</w:t>
      </w:r>
      <w:r>
        <w:rPr>
          <w:rStyle w:val="T4boldtext"/>
          <w:rFonts w:eastAsia="Calibri"/>
        </w:rPr>
        <w:t>1</w:t>
      </w:r>
    </w:p>
    <w:p w14:paraId="3822F184" w14:textId="77777777" w:rsidR="00767F79" w:rsidRPr="000A2D9D" w:rsidRDefault="00767F79" w:rsidP="00767F79">
      <w:pPr>
        <w:pStyle w:val="T4heading2"/>
      </w:pPr>
      <w:r w:rsidRPr="000A2D9D">
        <w:t>TUC recommendations</w:t>
      </w:r>
    </w:p>
    <w:p w14:paraId="2F982F78" w14:textId="694C62A7" w:rsidR="00767F79" w:rsidRPr="0037343E" w:rsidRDefault="00767F79" w:rsidP="00767F79">
      <w:pPr>
        <w:pStyle w:val="T4bodytext"/>
        <w:rPr>
          <w:rFonts w:eastAsia="Calibri"/>
        </w:rPr>
      </w:pPr>
      <w:proofErr w:type="gramStart"/>
      <w:r w:rsidRPr="0037343E">
        <w:rPr>
          <w:rStyle w:val="T4boldtext"/>
          <w:rFonts w:ascii="Segoe UI" w:eastAsia="Calibri" w:hAnsi="Segoe UI"/>
        </w:rPr>
        <w:t>In order to</w:t>
      </w:r>
      <w:proofErr w:type="gramEnd"/>
      <w:r w:rsidRPr="0037343E">
        <w:rPr>
          <w:rStyle w:val="T4boldtext"/>
          <w:rFonts w:ascii="Segoe UI" w:eastAsia="Calibri" w:hAnsi="Segoe UI"/>
        </w:rPr>
        <w:t xml:space="preserve"> deliver fair pay and justice to key workers and support economic recovery, the TUC has </w:t>
      </w:r>
      <w:r w:rsidR="00D05DDC">
        <w:rPr>
          <w:rStyle w:val="T4boldtext"/>
          <w:rFonts w:ascii="Segoe UI" w:eastAsia="Calibri" w:hAnsi="Segoe UI"/>
        </w:rPr>
        <w:t>five</w:t>
      </w:r>
      <w:r w:rsidRPr="0037343E">
        <w:rPr>
          <w:rStyle w:val="T4boldtext"/>
          <w:rFonts w:ascii="Segoe UI" w:eastAsia="Calibri" w:hAnsi="Segoe UI"/>
        </w:rPr>
        <w:t xml:space="preserve"> key asks on rewards for key workers:</w:t>
      </w:r>
    </w:p>
    <w:p w14:paraId="7C61D240" w14:textId="3C9C4AE1" w:rsidR="00767F79" w:rsidRPr="000546F6" w:rsidRDefault="00767F79" w:rsidP="00767F79">
      <w:pPr>
        <w:pStyle w:val="T4bulletlevel1"/>
      </w:pPr>
      <w:r w:rsidRPr="00271CCE">
        <w:rPr>
          <w:b/>
          <w:bCs/>
        </w:rPr>
        <w:t>End the public sector pay pause</w:t>
      </w:r>
      <w:r w:rsidR="00FF3B4E">
        <w:t xml:space="preserve">, ensuring spending allocations in the October 2021 comprehensive spending review reverse a decade of lost pay and fully restore the value of public sector workers pay to 2010 levels </w:t>
      </w:r>
    </w:p>
    <w:p w14:paraId="4FCBE247" w14:textId="55C233ED" w:rsidR="00767F79" w:rsidRPr="00996B63" w:rsidRDefault="00767F79" w:rsidP="00996B63">
      <w:pPr>
        <w:pStyle w:val="T4bulletlevel1"/>
      </w:pPr>
      <w:r w:rsidRPr="00EC2AE6">
        <w:rPr>
          <w:b/>
          <w:bCs/>
        </w:rPr>
        <w:t>Give all public service workers a fair pay rise</w:t>
      </w:r>
      <w:r w:rsidR="00FF3B4E" w:rsidRPr="00996B63">
        <w:t xml:space="preserve"> through fully independent Pay Review Bodies or collective bargaining, </w:t>
      </w:r>
      <w:r w:rsidR="0000610C" w:rsidRPr="00996B63">
        <w:t xml:space="preserve">without restrictions being set by Treasury pay policy </w:t>
      </w:r>
    </w:p>
    <w:p w14:paraId="5BB48F8A" w14:textId="77777777" w:rsidR="00767F79" w:rsidRPr="000546F6" w:rsidRDefault="00767F79" w:rsidP="00767F79">
      <w:pPr>
        <w:pStyle w:val="T4bulletlevel1"/>
      </w:pPr>
      <w:r w:rsidRPr="005A2637">
        <w:rPr>
          <w:b/>
          <w:bCs/>
        </w:rPr>
        <w:t>Fund the public sector</w:t>
      </w:r>
      <w:r w:rsidRPr="000546F6">
        <w:t xml:space="preserve"> so that all outsourced workers get a pay rise to at least the real Living Wage and pay parity with directly employed staff</w:t>
      </w:r>
    </w:p>
    <w:p w14:paraId="38F3817E" w14:textId="77777777" w:rsidR="00767F79" w:rsidRPr="000546F6" w:rsidRDefault="00767F79" w:rsidP="00767F79">
      <w:pPr>
        <w:pStyle w:val="T4bulletlevel1"/>
      </w:pPr>
      <w:r w:rsidRPr="005A2637">
        <w:rPr>
          <w:b/>
          <w:bCs/>
        </w:rPr>
        <w:t>Raise the national minimum wage</w:t>
      </w:r>
      <w:r w:rsidRPr="000546F6">
        <w:t xml:space="preserve"> to £10 per hour  </w:t>
      </w:r>
    </w:p>
    <w:p w14:paraId="03F70FB9" w14:textId="36AD07FA" w:rsidR="00767F79" w:rsidRPr="00767F79" w:rsidRDefault="00767F79" w:rsidP="00767F79">
      <w:pPr>
        <w:pStyle w:val="T4bulletlevel1"/>
        <w:rPr>
          <w:rFonts w:eastAsia="Calibri"/>
        </w:rPr>
      </w:pPr>
      <w:r w:rsidRPr="000010ED">
        <w:rPr>
          <w:b/>
          <w:bCs/>
        </w:rPr>
        <w:t>Stop the cut</w:t>
      </w:r>
      <w:r w:rsidRPr="000546F6">
        <w:t xml:space="preserve"> to Universal Credit</w:t>
      </w:r>
    </w:p>
    <w:p w14:paraId="7D0C490C" w14:textId="6D197053" w:rsidR="005A428B" w:rsidRPr="000A2D9D" w:rsidRDefault="00AA5E06" w:rsidP="000A2D9D">
      <w:pPr>
        <w:pStyle w:val="T4heading2"/>
        <w:rPr>
          <w:rFonts w:eastAsia="Calibri"/>
        </w:rPr>
      </w:pPr>
      <w:r w:rsidRPr="000A2D9D">
        <w:rPr>
          <w:rFonts w:eastAsia="Calibri"/>
        </w:rPr>
        <w:t>Introduction</w:t>
      </w:r>
    </w:p>
    <w:p w14:paraId="436C4B7E" w14:textId="25C27502" w:rsidR="007E5319" w:rsidRDefault="0042636E" w:rsidP="0042636E">
      <w:pPr>
        <w:pStyle w:val="T4bodytext"/>
      </w:pPr>
      <w:r>
        <w:t xml:space="preserve">This briefing </w:t>
      </w:r>
      <w:r w:rsidR="00675208">
        <w:t xml:space="preserve">sets out some of the TUC’s key </w:t>
      </w:r>
      <w:r w:rsidR="00AA5741">
        <w:t>findings</w:t>
      </w:r>
      <w:r w:rsidR="00675208">
        <w:t xml:space="preserve"> around key </w:t>
      </w:r>
      <w:r w:rsidR="00C61B15">
        <w:t>workers’</w:t>
      </w:r>
      <w:r w:rsidR="00675208">
        <w:t xml:space="preserve"> pay</w:t>
      </w:r>
      <w:r w:rsidR="00755E2B">
        <w:t xml:space="preserve"> </w:t>
      </w:r>
      <w:r w:rsidR="00755E2B" w:rsidRPr="00755E2B">
        <w:t>in</w:t>
      </w:r>
      <w:r w:rsidR="006077B0">
        <w:t xml:space="preserve"> </w:t>
      </w:r>
      <w:r w:rsidR="006077B0" w:rsidRPr="006077B0">
        <w:t>Richmond (Yorkshire)</w:t>
      </w:r>
      <w:r w:rsidR="00755E2B" w:rsidRPr="00755E2B">
        <w:rPr>
          <w:rStyle w:val="T4boldtext"/>
          <w:rFonts w:eastAsia="Calibri"/>
        </w:rPr>
        <w:t xml:space="preserve"> </w:t>
      </w:r>
      <w:r w:rsidR="00755E2B" w:rsidRPr="000C6F93">
        <w:rPr>
          <w:rFonts w:eastAsia="Calibri"/>
        </w:rPr>
        <w:t xml:space="preserve">and across </w:t>
      </w:r>
      <w:r w:rsidR="00A94347">
        <w:rPr>
          <w:rFonts w:eastAsia="Calibri"/>
        </w:rPr>
        <w:t>Yorkshire and the Humber</w:t>
      </w:r>
      <w:r w:rsidR="00AD534E">
        <w:rPr>
          <w:rFonts w:eastAsia="Calibri"/>
        </w:rPr>
        <w:t>.</w:t>
      </w:r>
      <w:r w:rsidR="00755E2B">
        <w:rPr>
          <w:rStyle w:val="T4boldtext"/>
          <w:rFonts w:eastAsia="Calibri"/>
        </w:rPr>
        <w:t xml:space="preserve"> </w:t>
      </w:r>
    </w:p>
    <w:p w14:paraId="12ADA49B" w14:textId="27AE5E6C" w:rsidR="00755E2B" w:rsidRDefault="00755E2B" w:rsidP="0042636E">
      <w:pPr>
        <w:pStyle w:val="T4bodytext"/>
      </w:pPr>
      <w:r>
        <w:t xml:space="preserve">In his spending review of November 2020, the </w:t>
      </w:r>
      <w:r w:rsidR="005818F5">
        <w:t>c</w:t>
      </w:r>
      <w:r>
        <w:t xml:space="preserve">hancellor announced a pay freeze impacting </w:t>
      </w:r>
      <w:r w:rsidR="00D04E02">
        <w:t>almost half</w:t>
      </w:r>
      <w:r>
        <w:t xml:space="preserve"> of the public sector </w:t>
      </w:r>
      <w:r w:rsidR="005A0881">
        <w:t>workforce</w:t>
      </w:r>
      <w:r>
        <w:t xml:space="preserve"> for </w:t>
      </w:r>
      <w:r w:rsidR="00F074F4">
        <w:t>2021/22</w:t>
      </w:r>
      <w:r w:rsidR="006C72C4">
        <w:t xml:space="preserve"> including teachers, </w:t>
      </w:r>
      <w:proofErr w:type="gramStart"/>
      <w:r w:rsidR="006C72C4">
        <w:t>police</w:t>
      </w:r>
      <w:proofErr w:type="gramEnd"/>
      <w:r w:rsidR="006C72C4">
        <w:t xml:space="preserve"> and civil servants</w:t>
      </w:r>
      <w:r>
        <w:t xml:space="preserve">. Pay rises offered to workers in the NHS, local government and those paid below £24k remain below headline inflation of </w:t>
      </w:r>
      <w:r w:rsidR="00E90A33">
        <w:t>3.2</w:t>
      </w:r>
      <w:r>
        <w:t>%</w:t>
      </w:r>
      <w:r w:rsidR="00532DC0">
        <w:t>.</w:t>
      </w:r>
      <w:r w:rsidR="00BA1F03">
        <w:t xml:space="preserve"> And many still earn less in real terms than they did in 2010, following a decade of government-imposed pay restraint.</w:t>
      </w:r>
    </w:p>
    <w:p w14:paraId="56B703B0" w14:textId="104DD173" w:rsidR="006B7AA4" w:rsidRDefault="00755E2B" w:rsidP="0042636E">
      <w:pPr>
        <w:pStyle w:val="T4bodytext"/>
      </w:pPr>
      <w:r>
        <w:t xml:space="preserve">Many key workers in the public sector are excluded from </w:t>
      </w:r>
      <w:r w:rsidR="00A37CD1">
        <w:t>these awards</w:t>
      </w:r>
      <w:r>
        <w:t xml:space="preserve">, including </w:t>
      </w:r>
      <w:r>
        <w:rPr>
          <w:lang w:eastAsia="en-GB"/>
        </w:rPr>
        <w:t>o</w:t>
      </w:r>
      <w:r w:rsidR="009D7CC3" w:rsidRPr="005A428B">
        <w:rPr>
          <w:lang w:eastAsia="en-GB"/>
        </w:rPr>
        <w:t>utsourced NHS staff such as cleaners and porters</w:t>
      </w:r>
      <w:r>
        <w:rPr>
          <w:lang w:eastAsia="en-GB"/>
        </w:rPr>
        <w:t>.</w:t>
      </w:r>
      <w:r>
        <w:t xml:space="preserve"> </w:t>
      </w:r>
    </w:p>
    <w:p w14:paraId="0A30B02F" w14:textId="53D11621" w:rsidR="00E3641F" w:rsidRDefault="00E3641F" w:rsidP="0042636E">
      <w:pPr>
        <w:pStyle w:val="T4bodytext"/>
      </w:pPr>
      <w:r>
        <w:t xml:space="preserve">The </w:t>
      </w:r>
      <w:r w:rsidR="00BF170E">
        <w:t>forthcoming</w:t>
      </w:r>
      <w:r>
        <w:t xml:space="preserve"> comprehensive spending review is </w:t>
      </w:r>
      <w:r w:rsidR="0008607D">
        <w:t xml:space="preserve">the </w:t>
      </w:r>
      <w:r w:rsidR="003A6C60">
        <w:t>c</w:t>
      </w:r>
      <w:r w:rsidR="0008607D">
        <w:t xml:space="preserve">hancellor’s </w:t>
      </w:r>
      <w:r w:rsidR="00DF753D">
        <w:t xml:space="preserve">opportunity to </w:t>
      </w:r>
      <w:r w:rsidR="00B20AAF">
        <w:t xml:space="preserve">put this right and give key workers the </w:t>
      </w:r>
      <w:r w:rsidR="002B163A">
        <w:t xml:space="preserve">pay rise they </w:t>
      </w:r>
      <w:r w:rsidR="00357A8F">
        <w:t>need</w:t>
      </w:r>
      <w:r w:rsidR="00D15083">
        <w:t xml:space="preserve">. </w:t>
      </w:r>
    </w:p>
    <w:p w14:paraId="73B6C704" w14:textId="32B5A8F3" w:rsidR="00CA0F1E" w:rsidRPr="009B1422" w:rsidRDefault="00CA0F1E" w:rsidP="000A2D9D">
      <w:pPr>
        <w:pStyle w:val="T4heading2"/>
        <w:rPr>
          <w:b w:val="0"/>
        </w:rPr>
      </w:pPr>
      <w:r w:rsidRPr="000A2D9D">
        <w:t>Key workers in</w:t>
      </w:r>
      <w:r w:rsidR="00AD534E">
        <w:t xml:space="preserve"> </w:t>
      </w:r>
      <w:r w:rsidR="00AD534E">
        <w:rPr>
          <w:rFonts w:eastAsia="Calibri"/>
        </w:rPr>
        <w:t>Yorkshire and the Humber</w:t>
      </w:r>
    </w:p>
    <w:p w14:paraId="2EB19AAD" w14:textId="036C50A3" w:rsidR="00755E2B" w:rsidRDefault="00755E2B" w:rsidP="0042636E">
      <w:pPr>
        <w:pStyle w:val="T4bodytext"/>
      </w:pPr>
      <w:r>
        <w:t xml:space="preserve">Many </w:t>
      </w:r>
      <w:r w:rsidR="00742C6F">
        <w:t>k</w:t>
      </w:r>
      <w:r>
        <w:t>ey workers in sectors such as retail</w:t>
      </w:r>
      <w:r w:rsidR="00BA1F03">
        <w:t>, logistics and social care that were in the frontline of the pandemic remain at the National Living Wage of £</w:t>
      </w:r>
      <w:r w:rsidR="00F804E2">
        <w:t>8</w:t>
      </w:r>
      <w:r w:rsidR="003A06E1">
        <w:t>.91</w:t>
      </w:r>
      <w:r w:rsidR="00EC0B0D">
        <w:t>/</w:t>
      </w:r>
      <w:r w:rsidR="00BA1F03">
        <w:t xml:space="preserve">hour. TUC research shows that raising the </w:t>
      </w:r>
      <w:r w:rsidR="00EE130F">
        <w:t xml:space="preserve">National Living Wage </w:t>
      </w:r>
      <w:r w:rsidR="00BA1F03">
        <w:t xml:space="preserve">to £10 per hour would benefit </w:t>
      </w:r>
      <w:r w:rsidR="00C049E2" w:rsidRPr="00C049E2">
        <w:rPr>
          <w:szCs w:val="22"/>
        </w:rPr>
        <w:t xml:space="preserve">one in three </w:t>
      </w:r>
      <w:r w:rsidR="007E2E0E">
        <w:rPr>
          <w:szCs w:val="22"/>
        </w:rPr>
        <w:t xml:space="preserve">adult social </w:t>
      </w:r>
      <w:r w:rsidR="00C049E2" w:rsidRPr="00C049E2">
        <w:rPr>
          <w:szCs w:val="22"/>
        </w:rPr>
        <w:t>care workers, 580,000 workers in total</w:t>
      </w:r>
      <w:r w:rsidR="00C049E2">
        <w:rPr>
          <w:sz w:val="21"/>
          <w:szCs w:val="21"/>
        </w:rPr>
        <w:t xml:space="preserve">. </w:t>
      </w:r>
    </w:p>
    <w:p w14:paraId="728EFE34" w14:textId="69D22BDA" w:rsidR="004A1C00" w:rsidRDefault="00AD229C" w:rsidP="004A1C00">
      <w:pPr>
        <w:pStyle w:val="NormalWeb"/>
        <w:widowControl/>
        <w:shd w:val="clear" w:color="auto" w:fill="FFFFFF"/>
        <w:rPr>
          <w:rFonts w:ascii="Segoe UI" w:hAnsi="Segoe UI" w:cs="Segoe UI"/>
          <w:snapToGrid/>
          <w:color w:val="000000"/>
          <w:sz w:val="22"/>
          <w:szCs w:val="22"/>
          <w:lang w:eastAsia="en-GB"/>
        </w:rPr>
      </w:pPr>
      <w:r w:rsidRPr="004A1C00">
        <w:rPr>
          <w:rFonts w:ascii="Segoe UI" w:hAnsi="Segoe UI" w:cs="Segoe UI"/>
          <w:sz w:val="22"/>
          <w:szCs w:val="22"/>
        </w:rPr>
        <w:lastRenderedPageBreak/>
        <w:t xml:space="preserve">TUC analysis shows that </w:t>
      </w:r>
      <w:r w:rsidR="003D3395">
        <w:rPr>
          <w:rFonts w:ascii="Segoe UI" w:hAnsi="Segoe UI" w:cs="Segoe UI"/>
          <w:snapToGrid/>
          <w:color w:val="000000"/>
          <w:sz w:val="22"/>
          <w:szCs w:val="22"/>
          <w:lang w:eastAsia="en-GB"/>
        </w:rPr>
        <w:t>3</w:t>
      </w:r>
      <w:r w:rsidR="004A1C00" w:rsidRPr="004A1C00">
        <w:rPr>
          <w:rFonts w:ascii="Segoe UI" w:hAnsi="Segoe UI" w:cs="Segoe UI"/>
          <w:snapToGrid/>
          <w:color w:val="000000"/>
          <w:sz w:val="22"/>
          <w:szCs w:val="22"/>
          <w:lang w:eastAsia="en-GB"/>
        </w:rPr>
        <w:t xml:space="preserve"> in </w:t>
      </w:r>
      <w:r w:rsidR="006C239D">
        <w:rPr>
          <w:rFonts w:ascii="Segoe UI" w:hAnsi="Segoe UI" w:cs="Segoe UI"/>
          <w:snapToGrid/>
          <w:color w:val="000000"/>
          <w:sz w:val="22"/>
          <w:szCs w:val="22"/>
          <w:lang w:eastAsia="en-GB"/>
        </w:rPr>
        <w:t>10</w:t>
      </w:r>
      <w:r w:rsidR="004A1C00" w:rsidRPr="004A1C00">
        <w:rPr>
          <w:rFonts w:ascii="Segoe UI" w:hAnsi="Segoe UI" w:cs="Segoe UI"/>
          <w:snapToGrid/>
          <w:color w:val="000000"/>
          <w:sz w:val="22"/>
          <w:szCs w:val="22"/>
          <w:lang w:eastAsia="en-GB"/>
        </w:rPr>
        <w:t xml:space="preserve"> key workers – an estimated </w:t>
      </w:r>
      <w:r w:rsidR="00201C40">
        <w:rPr>
          <w:rFonts w:ascii="Segoe UI" w:hAnsi="Segoe UI" w:cs="Segoe UI"/>
          <w:snapToGrid/>
          <w:color w:val="000000"/>
          <w:sz w:val="22"/>
          <w:szCs w:val="22"/>
          <w:lang w:eastAsia="en-GB"/>
        </w:rPr>
        <w:t>3.1</w:t>
      </w:r>
      <w:r w:rsidR="004A1C00" w:rsidRPr="004A1C00">
        <w:rPr>
          <w:rFonts w:ascii="Segoe UI" w:hAnsi="Segoe UI" w:cs="Segoe UI"/>
          <w:snapToGrid/>
          <w:color w:val="000000"/>
          <w:sz w:val="22"/>
          <w:szCs w:val="22"/>
          <w:lang w:eastAsia="en-GB"/>
        </w:rPr>
        <w:t> million people – are paid less than £10 an hour</w:t>
      </w:r>
      <w:r w:rsidR="003E3F5B">
        <w:rPr>
          <w:rFonts w:ascii="Segoe UI" w:hAnsi="Segoe UI" w:cs="Segoe UI"/>
          <w:snapToGrid/>
          <w:color w:val="000000"/>
          <w:sz w:val="22"/>
          <w:szCs w:val="22"/>
          <w:lang w:eastAsia="en-GB"/>
        </w:rPr>
        <w:t>.</w:t>
      </w:r>
    </w:p>
    <w:p w14:paraId="35CFCCBD" w14:textId="7FEE3218" w:rsidR="00EF0C13" w:rsidRDefault="00EF0C13" w:rsidP="004A1C00">
      <w:pPr>
        <w:pStyle w:val="NormalWeb"/>
        <w:widowControl/>
        <w:shd w:val="clear" w:color="auto" w:fill="FFFFFF"/>
        <w:rPr>
          <w:rFonts w:ascii="Segoe UI" w:hAnsi="Segoe UI" w:cs="Segoe UI"/>
          <w:snapToGrid/>
          <w:color w:val="000000"/>
          <w:sz w:val="22"/>
          <w:szCs w:val="22"/>
          <w:lang w:eastAsia="en-GB"/>
        </w:rPr>
      </w:pPr>
    </w:p>
    <w:p w14:paraId="24F88C66" w14:textId="61373B43" w:rsidR="00387BA1" w:rsidRDefault="00EF0C13" w:rsidP="00F47F20">
      <w:pPr>
        <w:pStyle w:val="T4bodytext"/>
        <w:rPr>
          <w:snapToGrid/>
          <w:lang w:eastAsia="en-GB"/>
        </w:rPr>
      </w:pPr>
      <w:r>
        <w:rPr>
          <w:snapToGrid/>
          <w:lang w:eastAsia="en-GB"/>
        </w:rPr>
        <w:t>In</w:t>
      </w:r>
      <w:r w:rsidR="005213DE">
        <w:rPr>
          <w:snapToGrid/>
          <w:lang w:eastAsia="en-GB"/>
        </w:rPr>
        <w:t xml:space="preserve"> </w:t>
      </w:r>
      <w:r w:rsidR="005213DE">
        <w:rPr>
          <w:rFonts w:eastAsia="Calibri"/>
        </w:rPr>
        <w:t>Yorkshire and the Humber</w:t>
      </w:r>
      <w:r w:rsidR="0035587E">
        <w:rPr>
          <w:snapToGrid/>
          <w:lang w:eastAsia="en-GB"/>
        </w:rPr>
        <w:t xml:space="preserve">, </w:t>
      </w:r>
      <w:r w:rsidR="0048501E">
        <w:rPr>
          <w:snapToGrid/>
          <w:lang w:eastAsia="en-GB"/>
        </w:rPr>
        <w:t>272</w:t>
      </w:r>
      <w:r w:rsidR="00CB5EF0">
        <w:rPr>
          <w:snapToGrid/>
          <w:lang w:eastAsia="en-GB"/>
        </w:rPr>
        <w:t xml:space="preserve">,111 </w:t>
      </w:r>
      <w:r w:rsidR="0035587E">
        <w:rPr>
          <w:snapToGrid/>
          <w:lang w:eastAsia="en-GB"/>
        </w:rPr>
        <w:t>key workers earn below £10</w:t>
      </w:r>
      <w:r w:rsidR="00810ECA">
        <w:rPr>
          <w:snapToGrid/>
          <w:lang w:eastAsia="en-GB"/>
        </w:rPr>
        <w:t>, representing</w:t>
      </w:r>
      <w:r w:rsidR="00CB5EF0">
        <w:rPr>
          <w:snapToGrid/>
          <w:lang w:eastAsia="en-GB"/>
        </w:rPr>
        <w:t xml:space="preserve"> 33%</w:t>
      </w:r>
      <w:r w:rsidR="00810ECA">
        <w:rPr>
          <w:snapToGrid/>
          <w:lang w:eastAsia="en-GB"/>
        </w:rPr>
        <w:t xml:space="preserve"> of all key workers</w:t>
      </w:r>
      <w:r w:rsidR="00CB5EF0">
        <w:rPr>
          <w:snapToGrid/>
          <w:lang w:eastAsia="en-GB"/>
        </w:rPr>
        <w:t>.</w:t>
      </w:r>
      <w:r w:rsidR="00810ECA">
        <w:rPr>
          <w:snapToGrid/>
          <w:lang w:eastAsia="en-GB"/>
        </w:rPr>
        <w:t xml:space="preserve"> </w:t>
      </w:r>
    </w:p>
    <w:p w14:paraId="2E500756" w14:textId="27425E3F" w:rsidR="00D931D2" w:rsidRPr="00894867" w:rsidRDefault="00D931D2" w:rsidP="00894867">
      <w:pPr>
        <w:pStyle w:val="T4heading2"/>
        <w:rPr>
          <w:rFonts w:eastAsia="Calibri"/>
        </w:rPr>
      </w:pPr>
      <w:r w:rsidRPr="00894867">
        <w:rPr>
          <w:rFonts w:eastAsia="Calibri"/>
        </w:rPr>
        <w:t>Key workers in the public sector</w:t>
      </w:r>
      <w:r w:rsidR="00755E2B" w:rsidRPr="00894867">
        <w:rPr>
          <w:rFonts w:eastAsia="Calibri"/>
        </w:rPr>
        <w:t xml:space="preserve"> in</w:t>
      </w:r>
      <w:r w:rsidR="00CB5EF0">
        <w:rPr>
          <w:rFonts w:eastAsia="Calibri"/>
        </w:rPr>
        <w:t xml:space="preserve"> Yorkshire and the Humber</w:t>
      </w:r>
    </w:p>
    <w:p w14:paraId="39A079A0" w14:textId="2F390F93" w:rsidR="0046496A" w:rsidRDefault="001062E9" w:rsidP="003B565A">
      <w:pPr>
        <w:pStyle w:val="T4bodytext"/>
      </w:pPr>
      <w:r w:rsidRPr="001062E9">
        <w:t xml:space="preserve">In </w:t>
      </w:r>
      <w:r w:rsidR="00547B74">
        <w:t xml:space="preserve">June </w:t>
      </w:r>
      <w:r w:rsidR="00A80E83">
        <w:t>2021</w:t>
      </w:r>
      <w:r w:rsidRPr="001062E9">
        <w:t xml:space="preserve"> there were 5.</w:t>
      </w:r>
      <w:r w:rsidR="00CF3C02">
        <w:t>7</w:t>
      </w:r>
      <w:r w:rsidRPr="001062E9">
        <w:t xml:space="preserve"> million public sector workers in the UK, representing </w:t>
      </w:r>
      <w:r w:rsidR="00121F64">
        <w:t xml:space="preserve">nearly </w:t>
      </w:r>
      <w:r w:rsidRPr="001062E9">
        <w:t>1</w:t>
      </w:r>
      <w:r w:rsidR="00121F64">
        <w:t>8</w:t>
      </w:r>
      <w:r w:rsidRPr="001062E9">
        <w:t>% of all people in employment</w:t>
      </w:r>
      <w:r w:rsidR="00505C5A">
        <w:t>.</w:t>
      </w:r>
    </w:p>
    <w:p w14:paraId="0A29868C" w14:textId="446F509C" w:rsidR="003B565A" w:rsidRDefault="00547B74" w:rsidP="003B565A">
      <w:pPr>
        <w:pStyle w:val="T4bodytext"/>
      </w:pPr>
      <w:r>
        <w:t>In June 2021, t</w:t>
      </w:r>
      <w:r w:rsidR="003B565A">
        <w:t>here were</w:t>
      </w:r>
      <w:r w:rsidR="00C930D6">
        <w:t xml:space="preserve"> </w:t>
      </w:r>
      <w:r w:rsidR="007F0CBC">
        <w:t>482,000</w:t>
      </w:r>
      <w:r w:rsidR="00C930D6">
        <w:t xml:space="preserve"> public sector workers in</w:t>
      </w:r>
      <w:r w:rsidR="00CB5EF0">
        <w:t xml:space="preserve"> </w:t>
      </w:r>
      <w:r w:rsidR="00CB5EF0">
        <w:rPr>
          <w:rFonts w:eastAsia="Calibri"/>
        </w:rPr>
        <w:t>Yorkshire and the Humber</w:t>
      </w:r>
      <w:r w:rsidR="00C930D6">
        <w:t>. This represents</w:t>
      </w:r>
      <w:r w:rsidR="007F0CBC">
        <w:t xml:space="preserve"> 19%</w:t>
      </w:r>
      <w:r w:rsidR="003B3D83">
        <w:t xml:space="preserve"> of all employees in the region.</w:t>
      </w:r>
    </w:p>
    <w:p w14:paraId="33AE91A2" w14:textId="7D3E0B9D" w:rsidR="00D45468" w:rsidRDefault="00DC45B8" w:rsidP="003B565A">
      <w:pPr>
        <w:pStyle w:val="T4bodytext"/>
      </w:pPr>
      <w:r>
        <w:t xml:space="preserve">10,635 </w:t>
      </w:r>
      <w:r w:rsidR="003862B9">
        <w:t xml:space="preserve">public sector employees were working in </w:t>
      </w:r>
      <w:r w:rsidRPr="006077B0">
        <w:t>Richmond (Yorkshire)</w:t>
      </w:r>
      <w:r w:rsidR="00A91284">
        <w:t>.</w:t>
      </w:r>
    </w:p>
    <w:p w14:paraId="009F8530" w14:textId="422F81AE" w:rsidR="003703D0" w:rsidRPr="000A2D9D" w:rsidRDefault="009F5B32" w:rsidP="000A2D9D">
      <w:pPr>
        <w:pStyle w:val="T4heading2"/>
      </w:pPr>
      <w:r w:rsidRPr="000A2D9D">
        <w:t>Pay trends in the public sector since 2010</w:t>
      </w:r>
    </w:p>
    <w:p w14:paraId="338ECF5F" w14:textId="64C97B0F" w:rsidR="007C0F4C" w:rsidRPr="00156D0E" w:rsidRDefault="001A6080" w:rsidP="00141179">
      <w:pPr>
        <w:pStyle w:val="T4bodytext"/>
        <w:rPr>
          <w:rStyle w:val="T4boldtext"/>
          <w:rFonts w:ascii="Segoe UI" w:eastAsia="Calibri" w:hAnsi="Segoe UI"/>
        </w:rPr>
      </w:pPr>
      <w:r>
        <w:rPr>
          <w:rStyle w:val="T4boldtext"/>
          <w:rFonts w:ascii="Segoe UI" w:eastAsia="Calibri" w:hAnsi="Segoe UI"/>
        </w:rPr>
        <w:t xml:space="preserve">TUC analysis </w:t>
      </w:r>
      <w:r w:rsidR="00082624">
        <w:rPr>
          <w:rStyle w:val="T4boldtext"/>
          <w:rFonts w:ascii="Segoe UI" w:eastAsia="Calibri" w:hAnsi="Segoe UI"/>
        </w:rPr>
        <w:t>shows that p</w:t>
      </w:r>
      <w:r w:rsidR="006E304D" w:rsidRPr="00D26BD2">
        <w:rPr>
          <w:rStyle w:val="T4boldtext"/>
          <w:rFonts w:ascii="Segoe UI" w:eastAsia="Calibri" w:hAnsi="Segoe UI"/>
        </w:rPr>
        <w:t xml:space="preserve">ublic sector </w:t>
      </w:r>
      <w:r w:rsidR="00C94966" w:rsidRPr="00D26BD2">
        <w:rPr>
          <w:rStyle w:val="T4boldtext"/>
          <w:rFonts w:ascii="Segoe UI" w:eastAsia="Calibri" w:hAnsi="Segoe UI"/>
        </w:rPr>
        <w:t xml:space="preserve">pay still hasn’t recovered </w:t>
      </w:r>
      <w:r w:rsidR="003338A0" w:rsidRPr="00D26BD2">
        <w:rPr>
          <w:rStyle w:val="T4boldtext"/>
          <w:rFonts w:ascii="Segoe UI" w:eastAsia="Calibri" w:hAnsi="Segoe UI"/>
        </w:rPr>
        <w:t xml:space="preserve">from </w:t>
      </w:r>
      <w:r w:rsidR="007C0F4C" w:rsidRPr="00D26BD2">
        <w:rPr>
          <w:rStyle w:val="T4boldtext"/>
          <w:rFonts w:ascii="Segoe UI" w:eastAsia="Calibri" w:hAnsi="Segoe UI"/>
        </w:rPr>
        <w:t>a decade of sustained falls in real earnings</w:t>
      </w:r>
      <w:r w:rsidR="00082624">
        <w:rPr>
          <w:rStyle w:val="T4boldtext"/>
          <w:rFonts w:ascii="Segoe UI" w:eastAsia="Calibri" w:hAnsi="Segoe UI"/>
        </w:rPr>
        <w:t>.</w:t>
      </w:r>
    </w:p>
    <w:p w14:paraId="4CA45253" w14:textId="167EFD23" w:rsidR="001A3121" w:rsidRDefault="00156D0E" w:rsidP="00141179">
      <w:pPr>
        <w:pStyle w:val="T4bodytext"/>
      </w:pPr>
      <w:r>
        <w:t>In the NHS, e</w:t>
      </w:r>
      <w:r w:rsidR="00387D50">
        <w:t xml:space="preserve">ven after factoring </w:t>
      </w:r>
      <w:r w:rsidR="00BE28B4">
        <w:t xml:space="preserve">in </w:t>
      </w:r>
      <w:r w:rsidR="00387D50">
        <w:t>the recent pay award for NHS staff</w:t>
      </w:r>
      <w:r>
        <w:t>,</w:t>
      </w:r>
      <w:r w:rsidR="001A3121">
        <w:t xml:space="preserve"> pay</w:t>
      </w:r>
      <w:r w:rsidR="001A3121" w:rsidRPr="001A3121">
        <w:t xml:space="preserve"> for nurses, community nurses, medical secretaries, speech therapists, physiotherapists, </w:t>
      </w:r>
      <w:proofErr w:type="gramStart"/>
      <w:r w:rsidR="001A3121" w:rsidRPr="001A3121">
        <w:t>paramedics</w:t>
      </w:r>
      <w:proofErr w:type="gramEnd"/>
      <w:r w:rsidR="001A3121" w:rsidRPr="001A3121">
        <w:t xml:space="preserve"> and radiographers </w:t>
      </w:r>
      <w:r w:rsidR="002A5DDF">
        <w:t xml:space="preserve">is still below 2010 levels </w:t>
      </w:r>
      <w:r w:rsidR="00911A0C">
        <w:t>after</w:t>
      </w:r>
      <w:r>
        <w:t xml:space="preserve"> taking inflation into account.</w:t>
      </w:r>
    </w:p>
    <w:p w14:paraId="3FC6981B" w14:textId="68E298BF" w:rsidR="00213031" w:rsidRPr="00103B27" w:rsidRDefault="00213031" w:rsidP="00141179">
      <w:pPr>
        <w:pStyle w:val="T4bodytext"/>
        <w:rPr>
          <w:rStyle w:val="T4italictext"/>
        </w:rPr>
      </w:pPr>
      <w:r w:rsidRPr="00103B27">
        <w:rPr>
          <w:rStyle w:val="T4italictext"/>
        </w:rPr>
        <w:t xml:space="preserve">Real terms pay loss </w:t>
      </w:r>
      <w:r w:rsidR="007D3769" w:rsidRPr="00103B27">
        <w:rPr>
          <w:rStyle w:val="T4italictext"/>
        </w:rPr>
        <w:t xml:space="preserve">since 2010 </w:t>
      </w:r>
      <w:r w:rsidRPr="00103B27">
        <w:rPr>
          <w:rStyle w:val="T4italictext"/>
        </w:rPr>
        <w:t>in the NHS</w:t>
      </w:r>
    </w:p>
    <w:p w14:paraId="580AD065" w14:textId="1C9EC0AF" w:rsidR="007D3769" w:rsidRDefault="00CB4B18" w:rsidP="00103B27">
      <w:pPr>
        <w:pStyle w:val="T4bulletlevel1"/>
      </w:pPr>
      <w:r>
        <w:t xml:space="preserve">Porters pay </w:t>
      </w:r>
      <w:r w:rsidR="001C28DE">
        <w:t>is</w:t>
      </w:r>
      <w:r>
        <w:t xml:space="preserve"> down by £770</w:t>
      </w:r>
      <w:r w:rsidR="00AB5BE6">
        <w:t xml:space="preserve"> (-3.7%)</w:t>
      </w:r>
    </w:p>
    <w:p w14:paraId="5B0F58DB" w14:textId="46FEFA32" w:rsidR="00CB4B18" w:rsidRDefault="00CB4B18" w:rsidP="00103B27">
      <w:pPr>
        <w:pStyle w:val="T4bulletlevel1"/>
      </w:pPr>
      <w:r>
        <w:t>Medical secretar</w:t>
      </w:r>
      <w:r w:rsidR="001C28DE">
        <w:t xml:space="preserve">ies pay is down by </w:t>
      </w:r>
      <w:r w:rsidR="00FC682A">
        <w:t>£1,1</w:t>
      </w:r>
      <w:r w:rsidR="006919A7">
        <w:t>7</w:t>
      </w:r>
      <w:r w:rsidR="00FC682A">
        <w:t>0</w:t>
      </w:r>
      <w:r w:rsidR="00AB5BE6">
        <w:t xml:space="preserve"> (-5.1%)</w:t>
      </w:r>
    </w:p>
    <w:p w14:paraId="2952DF14" w14:textId="7BAC5E5B" w:rsidR="00FC682A" w:rsidRDefault="00B67470" w:rsidP="00103B27">
      <w:pPr>
        <w:pStyle w:val="T4bulletlevel1"/>
      </w:pPr>
      <w:r>
        <w:t xml:space="preserve">Maternity care assistants and nursery nurses pay is down by </w:t>
      </w:r>
      <w:r w:rsidR="00AB5BE6">
        <w:t>£2,</w:t>
      </w:r>
      <w:r w:rsidR="006919A7">
        <w:t>0</w:t>
      </w:r>
      <w:r w:rsidR="00AB5BE6">
        <w:t>00 (</w:t>
      </w:r>
      <w:r w:rsidR="00C520F4">
        <w:t>-7.6%)</w:t>
      </w:r>
    </w:p>
    <w:p w14:paraId="4649BA34" w14:textId="1E33477F" w:rsidR="00C520F4" w:rsidRDefault="00C520F4" w:rsidP="00103B27">
      <w:pPr>
        <w:pStyle w:val="T4bulletlevel1"/>
      </w:pPr>
      <w:r>
        <w:t xml:space="preserve">Nurses and community nurses pay is down by </w:t>
      </w:r>
      <w:r w:rsidR="006919A7">
        <w:t xml:space="preserve">up to </w:t>
      </w:r>
      <w:r w:rsidR="00224683">
        <w:t>£2,500 (-7.3%)</w:t>
      </w:r>
    </w:p>
    <w:p w14:paraId="304A97EC" w14:textId="036649FC" w:rsidR="00224683" w:rsidRDefault="00224683" w:rsidP="00103B27">
      <w:pPr>
        <w:pStyle w:val="T4bulletlevel1"/>
      </w:pPr>
      <w:r>
        <w:t>Radiographer specialist</w:t>
      </w:r>
      <w:r w:rsidR="00B5591E">
        <w:t xml:space="preserve"> and paramedic pay is down by £3,200 (-7.6%)</w:t>
      </w:r>
    </w:p>
    <w:p w14:paraId="0093A711" w14:textId="1AA98CCC" w:rsidR="00156D0E" w:rsidRPr="00156D0E" w:rsidRDefault="00156D0E" w:rsidP="00156D0E">
      <w:pPr>
        <w:pStyle w:val="T4bodytext"/>
        <w:rPr>
          <w:rStyle w:val="T4italictext"/>
        </w:rPr>
      </w:pPr>
      <w:r w:rsidRPr="00156D0E">
        <w:rPr>
          <w:rStyle w:val="T4italictext"/>
        </w:rPr>
        <w:t xml:space="preserve">Real terms pay </w:t>
      </w:r>
      <w:r>
        <w:rPr>
          <w:rStyle w:val="T4italictext"/>
        </w:rPr>
        <w:t xml:space="preserve">loss </w:t>
      </w:r>
      <w:r w:rsidRPr="00156D0E">
        <w:rPr>
          <w:rStyle w:val="T4italictext"/>
        </w:rPr>
        <w:t>for teachers</w:t>
      </w:r>
    </w:p>
    <w:p w14:paraId="60ACBE99" w14:textId="026CDA21" w:rsidR="001A3121" w:rsidRDefault="00156D0E" w:rsidP="0003395C">
      <w:pPr>
        <w:pStyle w:val="T4bodytext"/>
      </w:pPr>
      <w:r>
        <w:t xml:space="preserve">A recent analysis by the </w:t>
      </w:r>
      <w:hyperlink r:id="rId11" w:history="1">
        <w:r w:rsidRPr="00156D0E">
          <w:rPr>
            <w:rStyle w:val="Hyperlink"/>
          </w:rPr>
          <w:t>IFS</w:t>
        </w:r>
      </w:hyperlink>
      <w:r>
        <w:t xml:space="preserve"> shows that </w:t>
      </w:r>
      <w:r w:rsidR="00911A0C">
        <w:t>i</w:t>
      </w:r>
      <w:r>
        <w:t xml:space="preserve">n 2021, teacher pay levels remain about </w:t>
      </w:r>
      <w:r w:rsidRPr="00911A0C">
        <w:t>8% lower</w:t>
      </w:r>
      <w:r>
        <w:t xml:space="preserve"> in real terms than in 2007, just before the financial crisis. And they are still about 4-5% lower for less experienced teachers.</w:t>
      </w:r>
    </w:p>
    <w:p w14:paraId="57B1F9F0" w14:textId="2A0D617B" w:rsidR="00093136" w:rsidRPr="000A2D9D" w:rsidRDefault="005D75CF" w:rsidP="000A2D9D">
      <w:pPr>
        <w:pStyle w:val="T4heading2"/>
      </w:pPr>
      <w:r w:rsidRPr="000A2D9D">
        <w:t>Giving public sector workers a fair pay rise will boost regional economies</w:t>
      </w:r>
      <w:r w:rsidR="00C7094C">
        <w:t xml:space="preserve"> and keep the pay circle moving</w:t>
      </w:r>
      <w:r w:rsidRPr="000A2D9D">
        <w:t>.</w:t>
      </w:r>
      <w:r w:rsidR="00427921" w:rsidRPr="000A2D9D">
        <w:t xml:space="preserve"> </w:t>
      </w:r>
    </w:p>
    <w:p w14:paraId="1EF7FEBA" w14:textId="142EE4FD" w:rsidR="00F32E97" w:rsidRDefault="005D75CF" w:rsidP="00141179">
      <w:pPr>
        <w:pStyle w:val="T4bodytext"/>
        <w:rPr>
          <w:rFonts w:eastAsia="Segoe UI" w:cs="Segoe UI"/>
        </w:rPr>
      </w:pPr>
      <w:r>
        <w:t>Recent research by the TUC shows</w:t>
      </w:r>
      <w:r w:rsidR="00F32E97">
        <w:t xml:space="preserve"> </w:t>
      </w:r>
      <w:r w:rsidR="00F32E97">
        <w:rPr>
          <w:rFonts w:eastAsia="Segoe UI" w:cs="Segoe UI"/>
        </w:rPr>
        <w:t>how the economic recovery can be sped up by reversing cuts to key workers’ pay.</w:t>
      </w:r>
      <w:r w:rsidR="00AA568B">
        <w:rPr>
          <w:rFonts w:eastAsia="Segoe UI" w:cs="Segoe UI"/>
        </w:rPr>
        <w:t xml:space="preserve"> </w:t>
      </w:r>
      <w:r w:rsidR="002D2223">
        <w:rPr>
          <w:rFonts w:eastAsia="Segoe UI" w:cs="Segoe UI"/>
        </w:rPr>
        <w:t>I</w:t>
      </w:r>
      <w:r w:rsidR="00703570">
        <w:rPr>
          <w:rFonts w:eastAsia="Segoe UI" w:cs="Segoe UI"/>
        </w:rPr>
        <w:t xml:space="preserve">f the </w:t>
      </w:r>
      <w:r w:rsidR="005A4F60">
        <w:rPr>
          <w:rFonts w:eastAsia="Segoe UI" w:cs="Segoe UI"/>
        </w:rPr>
        <w:t>c</w:t>
      </w:r>
      <w:r w:rsidR="00703570">
        <w:rPr>
          <w:rFonts w:eastAsia="Segoe UI" w:cs="Segoe UI"/>
        </w:rPr>
        <w:t xml:space="preserve">hancellor </w:t>
      </w:r>
      <w:r w:rsidR="001D2BBB">
        <w:rPr>
          <w:rFonts w:eastAsia="Segoe UI" w:cs="Segoe UI"/>
        </w:rPr>
        <w:t xml:space="preserve">restored </w:t>
      </w:r>
      <w:r w:rsidR="001911BF">
        <w:rPr>
          <w:rFonts w:eastAsia="Segoe UI" w:cs="Segoe UI"/>
        </w:rPr>
        <w:t xml:space="preserve">public sector workers pay to 2010 levels, </w:t>
      </w:r>
      <w:r w:rsidR="00703570">
        <w:rPr>
          <w:rFonts w:eastAsia="Segoe UI" w:cs="Segoe UI"/>
        </w:rPr>
        <w:t>rais</w:t>
      </w:r>
      <w:r w:rsidR="00E903B9">
        <w:rPr>
          <w:rFonts w:eastAsia="Segoe UI" w:cs="Segoe UI"/>
        </w:rPr>
        <w:t>ing</w:t>
      </w:r>
      <w:r w:rsidR="00703570">
        <w:rPr>
          <w:rFonts w:eastAsia="Segoe UI" w:cs="Segoe UI"/>
        </w:rPr>
        <w:t xml:space="preserve"> pay in line with CPI</w:t>
      </w:r>
      <w:r w:rsidR="00213637">
        <w:rPr>
          <w:rFonts w:eastAsia="Segoe UI" w:cs="Segoe UI"/>
        </w:rPr>
        <w:t xml:space="preserve"> inflation</w:t>
      </w:r>
      <w:r w:rsidR="00703570">
        <w:rPr>
          <w:rFonts w:eastAsia="Segoe UI" w:cs="Segoe UI"/>
        </w:rPr>
        <w:t xml:space="preserve">, it would boost </w:t>
      </w:r>
      <w:r w:rsidR="00AE5204">
        <w:rPr>
          <w:rFonts w:eastAsia="Segoe UI" w:cs="Segoe UI"/>
        </w:rPr>
        <w:t>England’s</w:t>
      </w:r>
      <w:r w:rsidR="00703570">
        <w:rPr>
          <w:rFonts w:eastAsia="Segoe UI" w:cs="Segoe UI"/>
        </w:rPr>
        <w:t xml:space="preserve"> economy by £</w:t>
      </w:r>
      <w:r w:rsidR="00DF2AB2">
        <w:rPr>
          <w:rFonts w:eastAsia="Segoe UI" w:cs="Segoe UI"/>
        </w:rPr>
        <w:t>3.3</w:t>
      </w:r>
      <w:r w:rsidR="00703570">
        <w:rPr>
          <w:rFonts w:eastAsia="Segoe UI" w:cs="Segoe UI"/>
        </w:rPr>
        <w:t xml:space="preserve"> billion.</w:t>
      </w:r>
    </w:p>
    <w:p w14:paraId="007988DA" w14:textId="04A02D30" w:rsidR="00EE17FF" w:rsidRDefault="00EE17FF" w:rsidP="00141179">
      <w:pPr>
        <w:pStyle w:val="T4bodytext"/>
      </w:pPr>
      <w:r>
        <w:rPr>
          <w:rFonts w:eastAsia="Segoe UI" w:cs="Segoe UI"/>
        </w:rPr>
        <w:t xml:space="preserve">If the Chancellor </w:t>
      </w:r>
      <w:r w:rsidR="00B02415">
        <w:rPr>
          <w:rFonts w:eastAsia="Segoe UI" w:cs="Segoe UI"/>
        </w:rPr>
        <w:t xml:space="preserve">restored public sector workers pay to 2010 levels using RPI it would boost England’s economy by </w:t>
      </w:r>
      <w:r w:rsidR="00131D37">
        <w:rPr>
          <w:rFonts w:eastAsia="Segoe UI" w:cs="Segoe UI"/>
        </w:rPr>
        <w:t xml:space="preserve">£10.5 billion. </w:t>
      </w:r>
      <w:r>
        <w:rPr>
          <w:rFonts w:eastAsia="Segoe UI" w:cs="Segoe UI"/>
        </w:rPr>
        <w:t xml:space="preserve"> </w:t>
      </w:r>
    </w:p>
    <w:p w14:paraId="6C5DFF0A" w14:textId="049B756C" w:rsidR="00F32E97" w:rsidRPr="008A1EE7" w:rsidRDefault="008D10EC" w:rsidP="00455A2A">
      <w:pPr>
        <w:pStyle w:val="T4bodytext"/>
        <w:rPr>
          <w:rFonts w:eastAsia="Segoe UI"/>
        </w:rPr>
      </w:pPr>
      <w:r w:rsidRPr="00D965D6">
        <w:lastRenderedPageBreak/>
        <w:t xml:space="preserve">In </w:t>
      </w:r>
      <w:r w:rsidR="00CB5EF0">
        <w:rPr>
          <w:rFonts w:eastAsia="Calibri"/>
        </w:rPr>
        <w:t>Yorkshire and the Humber</w:t>
      </w:r>
      <w:r w:rsidRPr="00D965D6">
        <w:t xml:space="preserve">, </w:t>
      </w:r>
      <w:r w:rsidR="00C006E8">
        <w:rPr>
          <w:rFonts w:eastAsia="Segoe UI" w:cs="Segoe UI"/>
        </w:rPr>
        <w:t>restoring public sector workers</w:t>
      </w:r>
      <w:r w:rsidR="00C006E8" w:rsidRPr="00D965D6">
        <w:rPr>
          <w:rFonts w:eastAsia="Segoe UI"/>
        </w:rPr>
        <w:t xml:space="preserve"> pay </w:t>
      </w:r>
      <w:r w:rsidR="00C006E8">
        <w:rPr>
          <w:rFonts w:eastAsia="Segoe UI" w:cs="Segoe UI"/>
        </w:rPr>
        <w:t>to 2010 levels</w:t>
      </w:r>
      <w:r w:rsidR="00C006E8" w:rsidDel="00C006E8">
        <w:rPr>
          <w:rFonts w:eastAsia="Segoe UI"/>
        </w:rPr>
        <w:t xml:space="preserve"> </w:t>
      </w:r>
      <w:r w:rsidR="00C006E8">
        <w:rPr>
          <w:rFonts w:eastAsia="Segoe UI"/>
        </w:rPr>
        <w:t xml:space="preserve">in line with CPI inflation </w:t>
      </w:r>
      <w:r w:rsidR="00D965D6" w:rsidRPr="00D965D6">
        <w:rPr>
          <w:rFonts w:eastAsia="Segoe UI"/>
        </w:rPr>
        <w:t xml:space="preserve">would boost </w:t>
      </w:r>
      <w:r w:rsidR="00C006E8">
        <w:rPr>
          <w:rFonts w:eastAsia="Segoe UI"/>
        </w:rPr>
        <w:t>regional</w:t>
      </w:r>
      <w:r w:rsidR="00C006E8" w:rsidRPr="00D965D6">
        <w:rPr>
          <w:rFonts w:eastAsia="Segoe UI"/>
        </w:rPr>
        <w:t xml:space="preserve"> </w:t>
      </w:r>
      <w:r w:rsidR="00D965D6" w:rsidRPr="00D965D6">
        <w:rPr>
          <w:rFonts w:eastAsia="Segoe UI"/>
        </w:rPr>
        <w:t>economy by</w:t>
      </w:r>
      <w:r w:rsidR="00DF179E">
        <w:rPr>
          <w:rFonts w:eastAsia="Segoe UI"/>
        </w:rPr>
        <w:t xml:space="preserve"> </w:t>
      </w:r>
      <w:r w:rsidR="00E479BD">
        <w:rPr>
          <w:rFonts w:eastAsia="Segoe UI"/>
        </w:rPr>
        <w:t>£</w:t>
      </w:r>
      <w:r w:rsidR="00822109">
        <w:rPr>
          <w:rFonts w:eastAsia="Segoe UI"/>
        </w:rPr>
        <w:t>32</w:t>
      </w:r>
      <w:r w:rsidR="006E4854">
        <w:rPr>
          <w:rFonts w:eastAsia="Segoe UI"/>
        </w:rPr>
        <w:t>2 million</w:t>
      </w:r>
      <w:r w:rsidR="00DF179E">
        <w:rPr>
          <w:rFonts w:eastAsia="Segoe UI"/>
        </w:rPr>
        <w:t>.</w:t>
      </w:r>
    </w:p>
    <w:p w14:paraId="68C29118" w14:textId="77777777" w:rsidR="00B97A0A" w:rsidRDefault="00D95C9C" w:rsidP="000A2D9D">
      <w:pPr>
        <w:pStyle w:val="T4bodytext"/>
      </w:pPr>
      <w:r>
        <w:rPr>
          <w:rFonts w:eastAsia="Segoe UI"/>
        </w:rPr>
        <w:t xml:space="preserve">At constituency level, it would mean </w:t>
      </w:r>
      <w:r w:rsidR="00D25A57">
        <w:rPr>
          <w:rFonts w:eastAsia="Segoe UI"/>
        </w:rPr>
        <w:t xml:space="preserve">an </w:t>
      </w:r>
      <w:r>
        <w:rPr>
          <w:rFonts w:eastAsia="Segoe UI"/>
        </w:rPr>
        <w:t>economic boost of</w:t>
      </w:r>
      <w:r w:rsidR="00822109">
        <w:rPr>
          <w:rFonts w:eastAsia="Segoe UI"/>
        </w:rPr>
        <w:t xml:space="preserve"> </w:t>
      </w:r>
      <w:r w:rsidR="00E479BD">
        <w:rPr>
          <w:rFonts w:eastAsia="Segoe UI"/>
        </w:rPr>
        <w:t>£</w:t>
      </w:r>
      <w:r w:rsidR="00822109">
        <w:rPr>
          <w:rFonts w:eastAsia="Segoe UI"/>
        </w:rPr>
        <w:t>7,</w:t>
      </w:r>
      <w:r w:rsidR="00D15E93">
        <w:rPr>
          <w:rFonts w:eastAsia="Segoe UI"/>
        </w:rPr>
        <w:t>6 million</w:t>
      </w:r>
      <w:r w:rsidR="008A1EE7">
        <w:rPr>
          <w:rFonts w:eastAsia="Segoe UI"/>
          <w:b/>
          <w:bCs/>
        </w:rPr>
        <w:t xml:space="preserve"> </w:t>
      </w:r>
      <w:r w:rsidR="008A1EE7" w:rsidRPr="00BB1049">
        <w:rPr>
          <w:rFonts w:eastAsia="Segoe UI"/>
        </w:rPr>
        <w:t xml:space="preserve">for </w:t>
      </w:r>
      <w:r w:rsidR="00DC45B8" w:rsidRPr="006077B0">
        <w:t>Richmond (Yorkshire)</w:t>
      </w:r>
      <w:r w:rsidR="00B97A0A">
        <w:t>.</w:t>
      </w:r>
    </w:p>
    <w:p w14:paraId="78BFCEA8" w14:textId="2550BEC7" w:rsidR="00455A2A" w:rsidRDefault="00B97A0A" w:rsidP="000A2D9D">
      <w:pPr>
        <w:pStyle w:val="T4bodytext"/>
      </w:pPr>
      <w:r w:rsidRPr="005F36E0">
        <w:rPr>
          <w:rFonts w:eastAsia="Segoe UI"/>
        </w:rPr>
        <w:t>The net cost to government of raising public sector workers pay</w:t>
      </w:r>
      <w:r>
        <w:rPr>
          <w:rFonts w:eastAsia="Segoe UI"/>
        </w:rPr>
        <w:t xml:space="preserve"> for 2020/21 is £2.56 billion, if restored in line with CPI. </w:t>
      </w:r>
    </w:p>
    <w:p w14:paraId="4358376C" w14:textId="77777777" w:rsidR="009572E7" w:rsidRPr="00455A2A" w:rsidRDefault="009572E7" w:rsidP="009572E7">
      <w:pPr>
        <w:pStyle w:val="T4bodytext"/>
      </w:pPr>
      <w:r w:rsidRPr="00455A2A">
        <w:t xml:space="preserve">The government </w:t>
      </w:r>
      <w:r w:rsidRPr="00A1553E">
        <w:t xml:space="preserve">should </w:t>
      </w:r>
      <w:r w:rsidRPr="00A1553E">
        <w:rPr>
          <w:rFonts w:eastAsia="Segoe UI"/>
        </w:rPr>
        <w:t>keep the pay circle moving</w:t>
      </w:r>
      <w:r>
        <w:rPr>
          <w:rFonts w:eastAsia="Segoe UI"/>
        </w:rPr>
        <w:t>.</w:t>
      </w:r>
      <w:r>
        <w:t xml:space="preserve"> Investing in </w:t>
      </w:r>
      <w:r w:rsidRPr="006807A8">
        <w:t>public sector worker</w:t>
      </w:r>
      <w:r>
        <w:t>s</w:t>
      </w:r>
      <w:r w:rsidRPr="006807A8">
        <w:t xml:space="preserve"> </w:t>
      </w:r>
      <w:r>
        <w:t>and giving them a fair pay rise</w:t>
      </w:r>
      <w:r w:rsidRPr="006807A8">
        <w:t xml:space="preserve"> helps everyone. When a worker spends their wages, money goes straight into the local economy, and co</w:t>
      </w:r>
      <w:r w:rsidRPr="00455A2A">
        <w:t>mes back into other people’s pay packets. </w:t>
      </w:r>
    </w:p>
    <w:p w14:paraId="6B0B04FD" w14:textId="77777777" w:rsidR="00625E90" w:rsidRPr="000A2D9D" w:rsidRDefault="00625E90" w:rsidP="000A2D9D">
      <w:pPr>
        <w:pStyle w:val="T4heading2"/>
      </w:pPr>
      <w:r w:rsidRPr="000A2D9D">
        <w:t>Child poverty in key worker families</w:t>
      </w:r>
    </w:p>
    <w:p w14:paraId="4C42D9E7" w14:textId="04C52795" w:rsidR="002C3ED1" w:rsidRDefault="00EC2C45" w:rsidP="002C3ED1">
      <w:pPr>
        <w:pStyle w:val="T4bodytext"/>
      </w:pPr>
      <w:hyperlink r:id="rId12" w:history="1">
        <w:r w:rsidR="00BA1F03" w:rsidRPr="00A1553E">
          <w:rPr>
            <w:rStyle w:val="Hyperlink"/>
          </w:rPr>
          <w:t>R</w:t>
        </w:r>
        <w:r w:rsidR="00625E90" w:rsidRPr="00A1553E">
          <w:rPr>
            <w:rStyle w:val="Hyperlink"/>
          </w:rPr>
          <w:t>esearch</w:t>
        </w:r>
      </w:hyperlink>
      <w:r w:rsidR="00625E90" w:rsidRPr="00625E90">
        <w:t xml:space="preserve"> published by the TUC found that just over a million children in key worker families are living below the poverty line</w:t>
      </w:r>
      <w:r w:rsidR="006413D4">
        <w:t xml:space="preserve">, representing 21% of children in </w:t>
      </w:r>
      <w:r w:rsidR="00911A0C">
        <w:t>k</w:t>
      </w:r>
      <w:r w:rsidR="006413D4">
        <w:t>ey worker households</w:t>
      </w:r>
      <w:r w:rsidR="007005E1">
        <w:t>.</w:t>
      </w:r>
      <w:r w:rsidR="002C3ED1">
        <w:t xml:space="preserve"> </w:t>
      </w:r>
    </w:p>
    <w:p w14:paraId="6B695AC0" w14:textId="6D2836BA" w:rsidR="0003395C" w:rsidRPr="00625E90" w:rsidRDefault="008E40AE" w:rsidP="00625E90">
      <w:pPr>
        <w:pStyle w:val="T4bodytext"/>
      </w:pPr>
      <w:r w:rsidRPr="008E40AE">
        <w:t>100</w:t>
      </w:r>
      <w:r>
        <w:t>,</w:t>
      </w:r>
      <w:r w:rsidRPr="008E40AE">
        <w:t>214</w:t>
      </w:r>
      <w:r>
        <w:t xml:space="preserve"> </w:t>
      </w:r>
      <w:r w:rsidR="0003395C" w:rsidRPr="003F0C67">
        <w:t>children of key workers in</w:t>
      </w:r>
      <w:r w:rsidR="00CB5EF0">
        <w:t xml:space="preserve"> </w:t>
      </w:r>
      <w:r w:rsidR="00CB5EF0">
        <w:rPr>
          <w:rFonts w:eastAsia="Calibri"/>
        </w:rPr>
        <w:t>Yorkshire and the Humber</w:t>
      </w:r>
      <w:r w:rsidR="0003395C" w:rsidRPr="003F0C67">
        <w:t xml:space="preserve"> are living in poverty</w:t>
      </w:r>
      <w:r w:rsidR="0003395C">
        <w:t xml:space="preserve">, representing </w:t>
      </w:r>
      <w:r w:rsidR="005F3A7E">
        <w:t xml:space="preserve">25% of </w:t>
      </w:r>
      <w:r w:rsidR="0003395C" w:rsidRPr="000E1817">
        <w:t>children in key workers households</w:t>
      </w:r>
      <w:r w:rsidR="0003395C">
        <w:t>.</w:t>
      </w:r>
    </w:p>
    <w:p w14:paraId="61B3C9B5" w14:textId="77777777" w:rsidR="0047654A" w:rsidRPr="00FB799A" w:rsidRDefault="0047654A" w:rsidP="0047654A">
      <w:pPr>
        <w:pStyle w:val="T4bodytext"/>
        <w:rPr>
          <w:lang w:eastAsia="en-GB"/>
        </w:rPr>
      </w:pPr>
      <w:r>
        <w:t>T</w:t>
      </w:r>
      <w:r w:rsidRPr="00FB799A">
        <w:rPr>
          <w:lang w:eastAsia="en-GB"/>
        </w:rPr>
        <w:t>he main reasons for key worker family poverty are low pay and insecure</w:t>
      </w:r>
      <w:r>
        <w:t xml:space="preserve"> h</w:t>
      </w:r>
      <w:r w:rsidRPr="00FB799A">
        <w:rPr>
          <w:lang w:eastAsia="en-GB"/>
        </w:rPr>
        <w:t>our</w:t>
      </w:r>
      <w:r>
        <w:t xml:space="preserve">s </w:t>
      </w:r>
      <w:r>
        <w:rPr>
          <w:lang w:eastAsia="en-GB"/>
        </w:rPr>
        <w:t>–</w:t>
      </w:r>
      <w:r w:rsidRPr="00FB799A">
        <w:rPr>
          <w:lang w:eastAsia="en-GB"/>
        </w:rPr>
        <w:t> factors</w:t>
      </w:r>
      <w:r>
        <w:rPr>
          <w:lang w:eastAsia="en-GB"/>
        </w:rPr>
        <w:t xml:space="preserve"> </w:t>
      </w:r>
      <w:r w:rsidRPr="00FB799A">
        <w:rPr>
          <w:lang w:eastAsia="en-GB"/>
        </w:rPr>
        <w:t>that</w:t>
      </w:r>
      <w:r>
        <w:rPr>
          <w:lang w:eastAsia="en-GB"/>
        </w:rPr>
        <w:t xml:space="preserve"> </w:t>
      </w:r>
      <w:r w:rsidRPr="00FB799A">
        <w:rPr>
          <w:lang w:eastAsia="en-GB"/>
        </w:rPr>
        <w:t>often</w:t>
      </w:r>
      <w:r>
        <w:rPr>
          <w:lang w:eastAsia="en-GB"/>
        </w:rPr>
        <w:t xml:space="preserve"> </w:t>
      </w:r>
      <w:r w:rsidRPr="00FB799A">
        <w:rPr>
          <w:lang w:eastAsia="en-GB"/>
        </w:rPr>
        <w:t>coincide in </w:t>
      </w:r>
      <w:r>
        <w:rPr>
          <w:lang w:eastAsia="en-GB"/>
        </w:rPr>
        <w:t xml:space="preserve">key worker </w:t>
      </w:r>
      <w:r w:rsidRPr="00FB799A">
        <w:rPr>
          <w:lang w:eastAsia="en-GB"/>
        </w:rPr>
        <w:t>occupations such as care workers, delivery drivers or supermarket staff.  </w:t>
      </w:r>
    </w:p>
    <w:p w14:paraId="4731460B" w14:textId="2102A3D0" w:rsidR="00FB799A" w:rsidRDefault="00FB799A" w:rsidP="00B66CE9">
      <w:pPr>
        <w:pStyle w:val="T4bodytext"/>
        <w:rPr>
          <w:lang w:eastAsia="en-GB"/>
        </w:rPr>
      </w:pPr>
      <w:r w:rsidRPr="00FB799A">
        <w:rPr>
          <w:lang w:eastAsia="en-GB"/>
        </w:rPr>
        <w:t>High housing costs further reduce keyworker family budgets for essentials like groceries and utility bills. And support through Universal Credit is not enough to guarantee families avoid poverty. </w:t>
      </w:r>
    </w:p>
    <w:p w14:paraId="7D5313A3" w14:textId="475C8DC0" w:rsidR="00BA1F03" w:rsidRPr="00D016B6" w:rsidRDefault="00BA1F03" w:rsidP="000A2D9D">
      <w:pPr>
        <w:pStyle w:val="T4heading2"/>
        <w:rPr>
          <w:b w:val="0"/>
          <w:lang w:eastAsia="en-GB"/>
        </w:rPr>
      </w:pPr>
      <w:r w:rsidRPr="000A2D9D">
        <w:t xml:space="preserve">Universal Credit </w:t>
      </w:r>
    </w:p>
    <w:p w14:paraId="7965B01B" w14:textId="1CEB0BA2" w:rsidR="00617C31" w:rsidRDefault="00FB799A" w:rsidP="003F0C67">
      <w:pPr>
        <w:pStyle w:val="T4bodytext"/>
        <w:rPr>
          <w:lang w:eastAsia="en-GB"/>
        </w:rPr>
      </w:pPr>
      <w:r w:rsidRPr="00FB799A">
        <w:rPr>
          <w:lang w:eastAsia="en-GB"/>
        </w:rPr>
        <w:t xml:space="preserve">Current government policies are likely to increase child poverty rates. </w:t>
      </w:r>
      <w:r w:rsidR="005E3D2C">
        <w:rPr>
          <w:lang w:eastAsia="en-GB"/>
        </w:rPr>
        <w:t xml:space="preserve">Many key worker households will be worse off </w:t>
      </w:r>
      <w:proofErr w:type="gramStart"/>
      <w:r w:rsidR="005E3D2C">
        <w:rPr>
          <w:lang w:eastAsia="en-GB"/>
        </w:rPr>
        <w:t>as a result of</w:t>
      </w:r>
      <w:proofErr w:type="gramEnd"/>
      <w:r w:rsidR="005E3D2C">
        <w:rPr>
          <w:lang w:eastAsia="en-GB"/>
        </w:rPr>
        <w:t xml:space="preserve"> t</w:t>
      </w:r>
      <w:r w:rsidRPr="00FB799A">
        <w:rPr>
          <w:lang w:eastAsia="en-GB"/>
        </w:rPr>
        <w:t>he chancellor</w:t>
      </w:r>
      <w:r w:rsidR="00BE28B4">
        <w:rPr>
          <w:lang w:eastAsia="en-GB"/>
        </w:rPr>
        <w:t>’s</w:t>
      </w:r>
      <w:r w:rsidRPr="00FB799A">
        <w:rPr>
          <w:lang w:eastAsia="en-GB"/>
        </w:rPr>
        <w:t> </w:t>
      </w:r>
      <w:r w:rsidR="005E3D2C">
        <w:rPr>
          <w:lang w:eastAsia="en-GB"/>
        </w:rPr>
        <w:t xml:space="preserve">planned </w:t>
      </w:r>
      <w:r w:rsidRPr="00FB799A">
        <w:rPr>
          <w:lang w:eastAsia="en-GB"/>
        </w:rPr>
        <w:t>cut </w:t>
      </w:r>
      <w:r w:rsidR="005E3D2C">
        <w:rPr>
          <w:lang w:eastAsia="en-GB"/>
        </w:rPr>
        <w:t xml:space="preserve">to </w:t>
      </w:r>
      <w:r w:rsidRPr="00FB799A">
        <w:rPr>
          <w:lang w:eastAsia="en-GB"/>
        </w:rPr>
        <w:t>Universal Credit for low-income families by £20 per week in October</w:t>
      </w:r>
      <w:r w:rsidR="005E3D2C">
        <w:rPr>
          <w:lang w:eastAsia="en-GB"/>
        </w:rPr>
        <w:t>.</w:t>
      </w:r>
    </w:p>
    <w:p w14:paraId="2D8932D9" w14:textId="3FC16073" w:rsidR="003462CA" w:rsidRDefault="003462CA" w:rsidP="003F0C67">
      <w:pPr>
        <w:pStyle w:val="T4bodytext"/>
        <w:rPr>
          <w:lang w:eastAsia="en-GB"/>
        </w:rPr>
      </w:pPr>
      <w:r>
        <w:rPr>
          <w:lang w:eastAsia="en-GB"/>
        </w:rPr>
        <w:t xml:space="preserve">In </w:t>
      </w:r>
      <w:r w:rsidR="00CB5EF0">
        <w:rPr>
          <w:rFonts w:eastAsia="Calibri"/>
        </w:rPr>
        <w:t>Yorkshire and the Humber</w:t>
      </w:r>
      <w:r>
        <w:rPr>
          <w:lang w:eastAsia="en-GB"/>
        </w:rPr>
        <w:t xml:space="preserve">, </w:t>
      </w:r>
      <w:r w:rsidR="00105395">
        <w:rPr>
          <w:lang w:eastAsia="en-GB"/>
        </w:rPr>
        <w:t>194,344</w:t>
      </w:r>
      <w:r>
        <w:rPr>
          <w:lang w:eastAsia="en-GB"/>
        </w:rPr>
        <w:t xml:space="preserve"> workers are receiving universal credit</w:t>
      </w:r>
      <w:r w:rsidR="00FD5000">
        <w:rPr>
          <w:lang w:eastAsia="en-GB"/>
        </w:rPr>
        <w:t xml:space="preserve">. </w:t>
      </w:r>
      <w:r w:rsidR="00FD5000">
        <w:rPr>
          <w:rFonts w:ascii="Segoe UI Historic" w:hAnsi="Segoe UI Historic" w:cs="Segoe UI Historic"/>
          <w:color w:val="000000"/>
          <w:szCs w:val="22"/>
          <w:shd w:val="clear" w:color="auto" w:fill="FFFFFF"/>
        </w:rPr>
        <w:t>They will all be hit by the £20pw cut.</w:t>
      </w:r>
    </w:p>
    <w:p w14:paraId="4A6D740D" w14:textId="77777777" w:rsidR="005E3D2C" w:rsidRPr="000A2D9D" w:rsidRDefault="005E3D2C" w:rsidP="000A2D9D">
      <w:pPr>
        <w:pStyle w:val="T4heading2"/>
        <w:rPr>
          <w:rFonts w:eastAsia="Calibri"/>
        </w:rPr>
      </w:pPr>
      <w:r w:rsidRPr="000A2D9D">
        <w:rPr>
          <w:rFonts w:eastAsia="Calibri"/>
        </w:rPr>
        <w:t>Outsourced public service workers</w:t>
      </w:r>
    </w:p>
    <w:p w14:paraId="6409E984" w14:textId="11EF630E" w:rsidR="005E3D2C" w:rsidRDefault="005E3D2C" w:rsidP="005E3D2C">
      <w:pPr>
        <w:pStyle w:val="T4bodytext"/>
        <w:rPr>
          <w:rStyle w:val="T4boldtext"/>
          <w:rFonts w:ascii="Segoe UI" w:eastAsia="Calibri" w:hAnsi="Segoe UI"/>
        </w:rPr>
      </w:pPr>
      <w:r w:rsidRPr="009301AF">
        <w:rPr>
          <w:rStyle w:val="T4boldtext"/>
          <w:rFonts w:ascii="Segoe UI" w:eastAsia="Calibri" w:hAnsi="Segoe UI"/>
        </w:rPr>
        <w:t xml:space="preserve">Many key workers in the private sector are engaged in delivering core public services, including social care workers and those providing auxiliary services in </w:t>
      </w:r>
      <w:r w:rsidR="00BE28B4">
        <w:rPr>
          <w:rStyle w:val="T4boldtext"/>
          <w:rFonts w:ascii="Segoe UI" w:eastAsia="Calibri" w:hAnsi="Segoe UI"/>
        </w:rPr>
        <w:t>the</w:t>
      </w:r>
      <w:r w:rsidRPr="009301AF">
        <w:rPr>
          <w:rStyle w:val="T4boldtext"/>
          <w:rFonts w:ascii="Segoe UI" w:eastAsia="Calibri" w:hAnsi="Segoe UI"/>
        </w:rPr>
        <w:t xml:space="preserve"> NHS, </w:t>
      </w:r>
      <w:proofErr w:type="gramStart"/>
      <w:r w:rsidRPr="009301AF">
        <w:rPr>
          <w:rStyle w:val="T4boldtext"/>
          <w:rFonts w:ascii="Segoe UI" w:eastAsia="Calibri" w:hAnsi="Segoe UI"/>
        </w:rPr>
        <w:t>schools</w:t>
      </w:r>
      <w:proofErr w:type="gramEnd"/>
      <w:r w:rsidRPr="009301AF">
        <w:rPr>
          <w:rStyle w:val="T4boldtext"/>
          <w:rFonts w:ascii="Segoe UI" w:eastAsia="Calibri" w:hAnsi="Segoe UI"/>
        </w:rPr>
        <w:t xml:space="preserve"> and public transport.</w:t>
      </w:r>
    </w:p>
    <w:p w14:paraId="6B506223" w14:textId="34CB2C83" w:rsidR="005E3D2C" w:rsidRPr="009A3ED0" w:rsidRDefault="005E3D2C" w:rsidP="005E3D2C">
      <w:pPr>
        <w:pStyle w:val="T4bodytext"/>
        <w:rPr>
          <w:rStyle w:val="T4boldtext"/>
          <w:rFonts w:ascii="Segoe UI" w:eastAsia="Calibri" w:hAnsi="Segoe UI"/>
        </w:rPr>
      </w:pPr>
      <w:r w:rsidRPr="009A3ED0">
        <w:rPr>
          <w:rStyle w:val="T4boldtext"/>
          <w:rFonts w:ascii="Segoe UI" w:eastAsia="Calibri" w:hAnsi="Segoe UI"/>
        </w:rPr>
        <w:t xml:space="preserve">A large proportion of these workers will not benefit from the </w:t>
      </w:r>
      <w:r>
        <w:rPr>
          <w:rStyle w:val="T4boldtext"/>
          <w:rFonts w:ascii="Segoe UI" w:eastAsia="Calibri" w:hAnsi="Segoe UI"/>
        </w:rPr>
        <w:t>pay rise offers</w:t>
      </w:r>
      <w:r w:rsidRPr="009A3ED0">
        <w:rPr>
          <w:rStyle w:val="T4boldtext"/>
          <w:rFonts w:ascii="Segoe UI" w:eastAsia="Calibri" w:hAnsi="Segoe UI"/>
        </w:rPr>
        <w:t xml:space="preserve"> that only extends to directly employed staff. </w:t>
      </w:r>
    </w:p>
    <w:p w14:paraId="3711CAF5" w14:textId="3ABAF4CF" w:rsidR="005E3D2C" w:rsidRPr="009C798A" w:rsidRDefault="005E3D2C" w:rsidP="009C798A">
      <w:pPr>
        <w:pStyle w:val="T4bodytext"/>
        <w:rPr>
          <w:rFonts w:eastAsia="Calibri"/>
        </w:rPr>
      </w:pPr>
      <w:r w:rsidRPr="009A3ED0">
        <w:rPr>
          <w:rStyle w:val="T4boldtext"/>
          <w:rFonts w:ascii="Segoe UI" w:eastAsia="Calibri" w:hAnsi="Segoe UI"/>
        </w:rPr>
        <w:t xml:space="preserve">The TUC believes that the NHS, </w:t>
      </w:r>
      <w:r w:rsidR="00A61E5F">
        <w:rPr>
          <w:rStyle w:val="T4boldtext"/>
          <w:rFonts w:ascii="Segoe UI" w:eastAsia="Calibri" w:hAnsi="Segoe UI"/>
        </w:rPr>
        <w:t>l</w:t>
      </w:r>
      <w:r w:rsidRPr="009A3ED0">
        <w:rPr>
          <w:rStyle w:val="T4boldtext"/>
          <w:rFonts w:ascii="Segoe UI" w:eastAsia="Calibri" w:hAnsi="Segoe UI"/>
        </w:rPr>
        <w:t xml:space="preserve">ocal </w:t>
      </w:r>
      <w:proofErr w:type="gramStart"/>
      <w:r w:rsidR="00A61E5F">
        <w:rPr>
          <w:rStyle w:val="T4boldtext"/>
          <w:rFonts w:ascii="Segoe UI" w:eastAsia="Calibri" w:hAnsi="Segoe UI"/>
        </w:rPr>
        <w:t>a</w:t>
      </w:r>
      <w:r w:rsidRPr="009A3ED0">
        <w:rPr>
          <w:rStyle w:val="T4boldtext"/>
          <w:rFonts w:ascii="Segoe UI" w:eastAsia="Calibri" w:hAnsi="Segoe UI"/>
        </w:rPr>
        <w:t>uthorities</w:t>
      </w:r>
      <w:proofErr w:type="gramEnd"/>
      <w:r w:rsidRPr="009A3ED0">
        <w:rPr>
          <w:rStyle w:val="T4boldtext"/>
          <w:rFonts w:ascii="Segoe UI" w:eastAsia="Calibri" w:hAnsi="Segoe UI"/>
        </w:rPr>
        <w:t xml:space="preserve"> and other government departments should be provided with the funding to ensure that outsourced workers providing work under contract to public services are able to benefit from pay rises that provide parity with directly employed staff or, at the very least, pay the real living wage.</w:t>
      </w:r>
    </w:p>
    <w:sectPr w:rsidR="005E3D2C" w:rsidRPr="009C798A" w:rsidSect="00EA794C">
      <w:headerReference w:type="default" r:id="rId13"/>
      <w:footerReference w:type="even" r:id="rId14"/>
      <w:footerReference w:type="default" r:id="rId15"/>
      <w:headerReference w:type="first" r:id="rId16"/>
      <w:endnotePr>
        <w:numFmt w:val="decimal"/>
      </w:endnotePr>
      <w:pgSz w:w="11905" w:h="16837" w:code="9"/>
      <w:pgMar w:top="2041" w:right="964" w:bottom="561" w:left="1418" w:header="680" w:footer="56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DF25" w14:textId="77777777" w:rsidR="00770B55" w:rsidRDefault="00770B55">
      <w:r>
        <w:separator/>
      </w:r>
    </w:p>
    <w:p w14:paraId="5E1C8820" w14:textId="77777777" w:rsidR="00770B55" w:rsidRDefault="00770B55"/>
  </w:endnote>
  <w:endnote w:type="continuationSeparator" w:id="0">
    <w:p w14:paraId="7BBD60EF" w14:textId="77777777" w:rsidR="00770B55" w:rsidRDefault="00770B55">
      <w:r>
        <w:continuationSeparator/>
      </w:r>
    </w:p>
    <w:p w14:paraId="2B3CAB2F" w14:textId="77777777" w:rsidR="00770B55" w:rsidRDefault="00770B55"/>
  </w:endnote>
  <w:endnote w:type="continuationNotice" w:id="1">
    <w:p w14:paraId="34F552C5" w14:textId="77777777" w:rsidR="00770B55" w:rsidRDefault="00770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edium">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Minion Pro">
    <w:altName w:val="Cambria"/>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Frutiger 45">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BD94" w14:textId="77777777" w:rsidR="00571253" w:rsidRDefault="00571253">
    <w:pPr>
      <w:tabs>
        <w:tab w:val="right" w:pos="8910"/>
      </w:tabs>
    </w:pPr>
  </w:p>
  <w:p w14:paraId="4200884B" w14:textId="77777777" w:rsidR="00571253" w:rsidRDefault="00571253">
    <w:pPr>
      <w:tabs>
        <w:tab w:val="right" w:pos="8910"/>
      </w:tabs>
    </w:pPr>
  </w:p>
  <w:p w14:paraId="2979818F" w14:textId="77777777" w:rsidR="00571253" w:rsidRDefault="00571253">
    <w:pPr>
      <w:tabs>
        <w:tab w:val="right" w:pos="8910"/>
      </w:tabs>
      <w:rPr>
        <w:rFonts w:ascii="Frutiger 45" w:hAnsi="Frutiger 45"/>
        <w:sz w:val="18"/>
      </w:rPr>
    </w:pPr>
    <w:r>
      <w:tab/>
    </w:r>
    <w:r>
      <w:rPr>
        <w:rFonts w:ascii="Frutiger 45" w:hAnsi="Frutiger 45"/>
        <w:sz w:val="18"/>
      </w:rPr>
      <w:fldChar w:fldCharType="begin"/>
    </w:r>
    <w:r>
      <w:rPr>
        <w:rFonts w:ascii="Frutiger 45" w:hAnsi="Frutiger 45"/>
        <w:sz w:val="18"/>
      </w:rPr>
      <w:instrText xml:space="preserve">PAGE </w:instrText>
    </w:r>
    <w:r>
      <w:rPr>
        <w:rFonts w:ascii="Frutiger 45" w:hAnsi="Frutiger 45"/>
        <w:sz w:val="18"/>
      </w:rPr>
      <w:fldChar w:fldCharType="separate"/>
    </w:r>
    <w:r>
      <w:rPr>
        <w:rFonts w:ascii="Frutiger 45" w:hAnsi="Frutiger 45"/>
        <w:noProof/>
        <w:sz w:val="18"/>
      </w:rPr>
      <w:t>2</w:t>
    </w:r>
    <w:r>
      <w:rPr>
        <w:rFonts w:ascii="Frutiger 45" w:hAnsi="Frutiger 45"/>
        <w:sz w:val="18"/>
      </w:rPr>
      <w:fldChar w:fldCharType="end"/>
    </w:r>
  </w:p>
  <w:p w14:paraId="356C1C66" w14:textId="77777777" w:rsidR="00571253" w:rsidRDefault="0057125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3DB9" w14:textId="77777777" w:rsidR="00571253" w:rsidRDefault="00571253">
    <w:pPr>
      <w:pStyle w:val="T4pagenumber"/>
    </w:pPr>
    <w:r>
      <w:rPr>
        <w:rFonts w:ascii="Arial Narrow" w:hAnsi="Arial Narrow"/>
        <w:sz w:val="16"/>
      </w:rPr>
      <w:tab/>
    </w:r>
    <w:r>
      <w:fldChar w:fldCharType="begin"/>
    </w:r>
    <w:r>
      <w:instrText xml:space="preserve">PAGE </w:instrText>
    </w:r>
    <w:r>
      <w:fldChar w:fldCharType="separate"/>
    </w:r>
    <w:r w:rsidR="00470FCA">
      <w:rPr>
        <w:noProof/>
      </w:rPr>
      <w:t>2</w:t>
    </w:r>
    <w:r>
      <w:fldChar w:fldCharType="end"/>
    </w:r>
  </w:p>
  <w:p w14:paraId="3722ACD6" w14:textId="77777777" w:rsidR="00571253" w:rsidRDefault="005712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85EA9" w14:textId="77777777" w:rsidR="00770B55" w:rsidRDefault="00770B55">
      <w:r>
        <w:separator/>
      </w:r>
    </w:p>
    <w:p w14:paraId="20943590" w14:textId="77777777" w:rsidR="00770B55" w:rsidRDefault="00770B55"/>
  </w:footnote>
  <w:footnote w:type="continuationSeparator" w:id="0">
    <w:p w14:paraId="1C956648" w14:textId="77777777" w:rsidR="00770B55" w:rsidRDefault="00770B55">
      <w:r>
        <w:continuationSeparator/>
      </w:r>
    </w:p>
    <w:p w14:paraId="2A81AB8E" w14:textId="77777777" w:rsidR="00770B55" w:rsidRDefault="00770B55"/>
  </w:footnote>
  <w:footnote w:type="continuationNotice" w:id="1">
    <w:p w14:paraId="32ABFE7E" w14:textId="77777777" w:rsidR="00770B55" w:rsidRDefault="00770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512F" w14:textId="77777777" w:rsidR="00571253" w:rsidRDefault="00571253">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167D" w14:textId="77777777" w:rsidR="00571253" w:rsidRDefault="00A91C7E">
    <w:r>
      <w:rPr>
        <w:noProof/>
      </w:rPr>
      <w:drawing>
        <wp:anchor distT="0" distB="0" distL="114300" distR="114300" simplePos="0" relativeHeight="251658240" behindDoc="1" locked="0" layoutInCell="1" allowOverlap="1" wp14:anchorId="5DADCE1B" wp14:editId="6FC8C610">
          <wp:simplePos x="0" y="0"/>
          <wp:positionH relativeFrom="page">
            <wp:align>center</wp:align>
          </wp:positionH>
          <wp:positionV relativeFrom="page">
            <wp:align>top</wp:align>
          </wp:positionV>
          <wp:extent cx="7560310" cy="3281680"/>
          <wp:effectExtent l="0" t="0" r="0" b="0"/>
          <wp:wrapNone/>
          <wp:docPr id="35" name="Picture 35" descr="TUC 1318-Parliamentary briefing Word Banner A4 National with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UC 1318-Parliamentary briefing Word Banner A4 National with 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2816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941B1"/>
    <w:multiLevelType w:val="hybridMultilevel"/>
    <w:tmpl w:val="B2D891E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14DC69D8"/>
    <w:multiLevelType w:val="multilevel"/>
    <w:tmpl w:val="3806BA0E"/>
    <w:lvl w:ilvl="0">
      <w:start w:val="1"/>
      <w:numFmt w:val="bullet"/>
      <w:pStyle w:val="T4bulletlevel1"/>
      <w:lvlText w:val=""/>
      <w:lvlJc w:val="left"/>
      <w:pPr>
        <w:tabs>
          <w:tab w:val="num" w:pos="567"/>
        </w:tabs>
        <w:ind w:left="567" w:hanging="567"/>
      </w:pPr>
      <w:rPr>
        <w:rFonts w:ascii="Symbol" w:hAnsi="Symbol" w:cs="Times New Roman" w:hint="default"/>
        <w:color w:val="auto"/>
      </w:rPr>
    </w:lvl>
    <w:lvl w:ilvl="1">
      <w:start w:val="1"/>
      <w:numFmt w:val="decimal"/>
      <w:lvlText w:val="%1.%2."/>
      <w:lvlJc w:val="left"/>
      <w:pPr>
        <w:tabs>
          <w:tab w:val="num" w:pos="567"/>
        </w:tabs>
        <w:ind w:left="567" w:hanging="567"/>
      </w:pPr>
      <w:rPr>
        <w:rFonts w:ascii="Futura Medium" w:hAnsi="Futura Medium" w:cs="Times New Roman" w:hint="default"/>
      </w:rPr>
    </w:lvl>
    <w:lvl w:ilvl="2">
      <w:start w:val="1"/>
      <w:numFmt w:val="decimal"/>
      <w:lvlText w:val="%1.%2.%3."/>
      <w:lvlJc w:val="left"/>
      <w:pPr>
        <w:tabs>
          <w:tab w:val="num" w:pos="-2388"/>
        </w:tabs>
        <w:ind w:left="-2604" w:hanging="504"/>
      </w:pPr>
      <w:rPr>
        <w:rFonts w:ascii="Times New Roman" w:hAnsi="Times New Roman" w:cs="Times New Roman" w:hint="default"/>
      </w:rPr>
    </w:lvl>
    <w:lvl w:ilvl="3">
      <w:start w:val="1"/>
      <w:numFmt w:val="decimal"/>
      <w:lvlText w:val="%1.%2.%3.%4."/>
      <w:lvlJc w:val="left"/>
      <w:pPr>
        <w:tabs>
          <w:tab w:val="num" w:pos="-1668"/>
        </w:tabs>
        <w:ind w:left="-2100" w:hanging="648"/>
      </w:pPr>
      <w:rPr>
        <w:rFonts w:ascii="Times New Roman" w:hAnsi="Times New Roman" w:cs="Times New Roman" w:hint="default"/>
      </w:rPr>
    </w:lvl>
    <w:lvl w:ilvl="4">
      <w:start w:val="1"/>
      <w:numFmt w:val="decimal"/>
      <w:lvlText w:val="%1.%2.%3.%4.%5."/>
      <w:lvlJc w:val="left"/>
      <w:pPr>
        <w:tabs>
          <w:tab w:val="num" w:pos="-1308"/>
        </w:tabs>
        <w:ind w:left="-1596" w:hanging="792"/>
      </w:pPr>
      <w:rPr>
        <w:rFonts w:ascii="Times New Roman" w:hAnsi="Times New Roman" w:cs="Times New Roman" w:hint="default"/>
      </w:rPr>
    </w:lvl>
    <w:lvl w:ilvl="5">
      <w:start w:val="1"/>
      <w:numFmt w:val="decimal"/>
      <w:lvlText w:val="%1.%2.%3.%4.%5.%6."/>
      <w:lvlJc w:val="left"/>
      <w:pPr>
        <w:tabs>
          <w:tab w:val="num" w:pos="-588"/>
        </w:tabs>
        <w:ind w:left="-1092" w:hanging="936"/>
      </w:pPr>
      <w:rPr>
        <w:rFonts w:ascii="Times New Roman" w:hAnsi="Times New Roman" w:cs="Times New Roman" w:hint="default"/>
      </w:rPr>
    </w:lvl>
    <w:lvl w:ilvl="6">
      <w:start w:val="1"/>
      <w:numFmt w:val="decimal"/>
      <w:lvlText w:val="%1.%2.%3.%4.%5.%6.%7."/>
      <w:lvlJc w:val="left"/>
      <w:pPr>
        <w:tabs>
          <w:tab w:val="num" w:pos="132"/>
        </w:tabs>
        <w:ind w:left="-588" w:hanging="1080"/>
      </w:pPr>
      <w:rPr>
        <w:rFonts w:ascii="Times New Roman" w:hAnsi="Times New Roman" w:cs="Times New Roman" w:hint="default"/>
      </w:rPr>
    </w:lvl>
    <w:lvl w:ilvl="7">
      <w:start w:val="1"/>
      <w:numFmt w:val="decimal"/>
      <w:lvlText w:val="%1.%2.%3.%4.%5.%6.%7.%8."/>
      <w:lvlJc w:val="left"/>
      <w:pPr>
        <w:tabs>
          <w:tab w:val="num" w:pos="492"/>
        </w:tabs>
        <w:ind w:left="-84" w:hanging="1224"/>
      </w:pPr>
      <w:rPr>
        <w:rFonts w:ascii="Times New Roman" w:hAnsi="Times New Roman" w:cs="Times New Roman" w:hint="default"/>
      </w:rPr>
    </w:lvl>
    <w:lvl w:ilvl="8">
      <w:start w:val="1"/>
      <w:numFmt w:val="decimal"/>
      <w:lvlText w:val="%1.%2.%3.%4.%5.%6.%7.%8.%9."/>
      <w:lvlJc w:val="left"/>
      <w:pPr>
        <w:tabs>
          <w:tab w:val="num" w:pos="1212"/>
        </w:tabs>
        <w:ind w:left="492" w:hanging="1440"/>
      </w:pPr>
      <w:rPr>
        <w:rFonts w:ascii="Times New Roman" w:hAnsi="Times New Roman" w:cs="Times New Roman" w:hint="default"/>
      </w:rPr>
    </w:lvl>
  </w:abstractNum>
  <w:abstractNum w:abstractNumId="2" w15:restartNumberingAfterBreak="0">
    <w:nsid w:val="23C8650E"/>
    <w:multiLevelType w:val="hybridMultilevel"/>
    <w:tmpl w:val="B4E41838"/>
    <w:lvl w:ilvl="0" w:tplc="9FF62A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71126"/>
    <w:multiLevelType w:val="multilevel"/>
    <w:tmpl w:val="FCF880D0"/>
    <w:lvl w:ilvl="0">
      <w:start w:val="1"/>
      <w:numFmt w:val="bullet"/>
      <w:lvlText w:val=""/>
      <w:lvlJc w:val="left"/>
      <w:pPr>
        <w:tabs>
          <w:tab w:val="num" w:pos="360"/>
        </w:tabs>
        <w:ind w:left="227" w:hanging="227"/>
      </w:pPr>
      <w:rPr>
        <w:rFonts w:ascii="Symbol" w:hAnsi="Symbol" w:hint="default"/>
        <w:color w:val="auto"/>
      </w:rPr>
    </w:lvl>
    <w:lvl w:ilvl="1">
      <w:start w:val="1"/>
      <w:numFmt w:val="bullet"/>
      <w:pStyle w:val="T4bulletlevel2"/>
      <w:lvlText w:val=""/>
      <w:lvlJc w:val="left"/>
      <w:pPr>
        <w:tabs>
          <w:tab w:val="num" w:pos="587"/>
        </w:tabs>
        <w:ind w:left="454" w:hanging="227"/>
      </w:pPr>
      <w:rPr>
        <w:rFonts w:ascii="Symbol" w:hAnsi="Symbol" w:hint="default"/>
        <w:color w:val="auto"/>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 w15:restartNumberingAfterBreak="0">
    <w:nsid w:val="5BA0554B"/>
    <w:multiLevelType w:val="multilevel"/>
    <w:tmpl w:val="B770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ocumentProtection w:enforcement="0"/>
  <w:autoFormatOverride/>
  <w:styleLockTheme/>
  <w:styleLockQFSet/>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noExtraLineSpacing/>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0A"/>
    <w:rsid w:val="000010ED"/>
    <w:rsid w:val="00004106"/>
    <w:rsid w:val="0000610C"/>
    <w:rsid w:val="00013973"/>
    <w:rsid w:val="00021A0F"/>
    <w:rsid w:val="00023CB0"/>
    <w:rsid w:val="00027EAE"/>
    <w:rsid w:val="0003395C"/>
    <w:rsid w:val="000457C3"/>
    <w:rsid w:val="000513E0"/>
    <w:rsid w:val="000517B6"/>
    <w:rsid w:val="00052DFA"/>
    <w:rsid w:val="000546F6"/>
    <w:rsid w:val="0006622F"/>
    <w:rsid w:val="00067599"/>
    <w:rsid w:val="00081961"/>
    <w:rsid w:val="00082624"/>
    <w:rsid w:val="00084437"/>
    <w:rsid w:val="0008607D"/>
    <w:rsid w:val="0008698D"/>
    <w:rsid w:val="00086AEE"/>
    <w:rsid w:val="00093136"/>
    <w:rsid w:val="000A2D9D"/>
    <w:rsid w:val="000B175B"/>
    <w:rsid w:val="000C45CC"/>
    <w:rsid w:val="000C6F93"/>
    <w:rsid w:val="000C756E"/>
    <w:rsid w:val="000D299F"/>
    <w:rsid w:val="000E1817"/>
    <w:rsid w:val="000E1C68"/>
    <w:rsid w:val="000E5BE8"/>
    <w:rsid w:val="000F3757"/>
    <w:rsid w:val="000F6FBE"/>
    <w:rsid w:val="00103B27"/>
    <w:rsid w:val="00105395"/>
    <w:rsid w:val="001062E9"/>
    <w:rsid w:val="00107C2E"/>
    <w:rsid w:val="001147C5"/>
    <w:rsid w:val="00116EF1"/>
    <w:rsid w:val="001174DD"/>
    <w:rsid w:val="00121F64"/>
    <w:rsid w:val="00131D37"/>
    <w:rsid w:val="001349EA"/>
    <w:rsid w:val="0013696E"/>
    <w:rsid w:val="00141179"/>
    <w:rsid w:val="00143959"/>
    <w:rsid w:val="001440D1"/>
    <w:rsid w:val="00145A80"/>
    <w:rsid w:val="00146586"/>
    <w:rsid w:val="001546D7"/>
    <w:rsid w:val="00156148"/>
    <w:rsid w:val="00156D0E"/>
    <w:rsid w:val="00173250"/>
    <w:rsid w:val="001869AB"/>
    <w:rsid w:val="0018789F"/>
    <w:rsid w:val="001911BF"/>
    <w:rsid w:val="00191397"/>
    <w:rsid w:val="00194B7B"/>
    <w:rsid w:val="001959DD"/>
    <w:rsid w:val="001A3121"/>
    <w:rsid w:val="001A6080"/>
    <w:rsid w:val="001C2598"/>
    <w:rsid w:val="001C28DE"/>
    <w:rsid w:val="001C373E"/>
    <w:rsid w:val="001D0541"/>
    <w:rsid w:val="001D2BBB"/>
    <w:rsid w:val="001E2C74"/>
    <w:rsid w:val="001E78FA"/>
    <w:rsid w:val="001F01F8"/>
    <w:rsid w:val="001F3122"/>
    <w:rsid w:val="001F5000"/>
    <w:rsid w:val="001F6C06"/>
    <w:rsid w:val="001F6CE4"/>
    <w:rsid w:val="001F7399"/>
    <w:rsid w:val="001F7F50"/>
    <w:rsid w:val="00201C40"/>
    <w:rsid w:val="00207724"/>
    <w:rsid w:val="00213031"/>
    <w:rsid w:val="00213637"/>
    <w:rsid w:val="00223A7E"/>
    <w:rsid w:val="00224683"/>
    <w:rsid w:val="0022480A"/>
    <w:rsid w:val="0022690E"/>
    <w:rsid w:val="00235FA2"/>
    <w:rsid w:val="00241AC3"/>
    <w:rsid w:val="00244B23"/>
    <w:rsid w:val="002460E1"/>
    <w:rsid w:val="00247B33"/>
    <w:rsid w:val="00251637"/>
    <w:rsid w:val="002556A1"/>
    <w:rsid w:val="00255931"/>
    <w:rsid w:val="002709FE"/>
    <w:rsid w:val="00271CCE"/>
    <w:rsid w:val="002762DC"/>
    <w:rsid w:val="00280197"/>
    <w:rsid w:val="002853DF"/>
    <w:rsid w:val="00290B57"/>
    <w:rsid w:val="00293549"/>
    <w:rsid w:val="002A2E43"/>
    <w:rsid w:val="002A533E"/>
    <w:rsid w:val="002A5DDF"/>
    <w:rsid w:val="002A6CE9"/>
    <w:rsid w:val="002A7170"/>
    <w:rsid w:val="002B163A"/>
    <w:rsid w:val="002B7986"/>
    <w:rsid w:val="002C0638"/>
    <w:rsid w:val="002C0C0B"/>
    <w:rsid w:val="002C15CF"/>
    <w:rsid w:val="002C1C12"/>
    <w:rsid w:val="002C3ED1"/>
    <w:rsid w:val="002D2223"/>
    <w:rsid w:val="002E0CF4"/>
    <w:rsid w:val="002E39F6"/>
    <w:rsid w:val="002F0EC2"/>
    <w:rsid w:val="002F1069"/>
    <w:rsid w:val="002F17E5"/>
    <w:rsid w:val="002F1E6E"/>
    <w:rsid w:val="002F26F5"/>
    <w:rsid w:val="002F6A46"/>
    <w:rsid w:val="0030004F"/>
    <w:rsid w:val="00305BC4"/>
    <w:rsid w:val="0031011A"/>
    <w:rsid w:val="00312DDC"/>
    <w:rsid w:val="003135C7"/>
    <w:rsid w:val="00317974"/>
    <w:rsid w:val="003244A6"/>
    <w:rsid w:val="00327158"/>
    <w:rsid w:val="003338A0"/>
    <w:rsid w:val="0034030A"/>
    <w:rsid w:val="003462CA"/>
    <w:rsid w:val="00351BA6"/>
    <w:rsid w:val="00353908"/>
    <w:rsid w:val="00353C19"/>
    <w:rsid w:val="0035587E"/>
    <w:rsid w:val="003566F3"/>
    <w:rsid w:val="00357A8F"/>
    <w:rsid w:val="00361355"/>
    <w:rsid w:val="003703D0"/>
    <w:rsid w:val="0037273B"/>
    <w:rsid w:val="0037343E"/>
    <w:rsid w:val="003762AF"/>
    <w:rsid w:val="00382472"/>
    <w:rsid w:val="0038530D"/>
    <w:rsid w:val="003862B9"/>
    <w:rsid w:val="00387BA1"/>
    <w:rsid w:val="00387D50"/>
    <w:rsid w:val="0039112E"/>
    <w:rsid w:val="00394FF8"/>
    <w:rsid w:val="00395599"/>
    <w:rsid w:val="003A06E1"/>
    <w:rsid w:val="003A3169"/>
    <w:rsid w:val="003A6805"/>
    <w:rsid w:val="003A6C60"/>
    <w:rsid w:val="003B2150"/>
    <w:rsid w:val="003B3D83"/>
    <w:rsid w:val="003B565A"/>
    <w:rsid w:val="003D06F3"/>
    <w:rsid w:val="003D3395"/>
    <w:rsid w:val="003D43DD"/>
    <w:rsid w:val="003D4A81"/>
    <w:rsid w:val="003D7B4A"/>
    <w:rsid w:val="003E0904"/>
    <w:rsid w:val="003E3F5B"/>
    <w:rsid w:val="003E7D58"/>
    <w:rsid w:val="003F0C67"/>
    <w:rsid w:val="003F2CD6"/>
    <w:rsid w:val="003F3684"/>
    <w:rsid w:val="00400AB0"/>
    <w:rsid w:val="00406309"/>
    <w:rsid w:val="00410216"/>
    <w:rsid w:val="0041026E"/>
    <w:rsid w:val="00413856"/>
    <w:rsid w:val="0041457D"/>
    <w:rsid w:val="004211C7"/>
    <w:rsid w:val="0042382E"/>
    <w:rsid w:val="00424F5C"/>
    <w:rsid w:val="0042596B"/>
    <w:rsid w:val="0042636E"/>
    <w:rsid w:val="00427921"/>
    <w:rsid w:val="00442686"/>
    <w:rsid w:val="00442E25"/>
    <w:rsid w:val="00451886"/>
    <w:rsid w:val="00451E92"/>
    <w:rsid w:val="004529A9"/>
    <w:rsid w:val="00452A43"/>
    <w:rsid w:val="00455A2A"/>
    <w:rsid w:val="0045634C"/>
    <w:rsid w:val="00461FC3"/>
    <w:rsid w:val="0046496A"/>
    <w:rsid w:val="00467614"/>
    <w:rsid w:val="00470FCA"/>
    <w:rsid w:val="00474E9F"/>
    <w:rsid w:val="00475870"/>
    <w:rsid w:val="00475B05"/>
    <w:rsid w:val="0047654A"/>
    <w:rsid w:val="00476664"/>
    <w:rsid w:val="004768E8"/>
    <w:rsid w:val="00480423"/>
    <w:rsid w:val="00481E4D"/>
    <w:rsid w:val="0048501E"/>
    <w:rsid w:val="00485340"/>
    <w:rsid w:val="00490658"/>
    <w:rsid w:val="00495E13"/>
    <w:rsid w:val="00497108"/>
    <w:rsid w:val="004A0B86"/>
    <w:rsid w:val="004A1C00"/>
    <w:rsid w:val="004A72AF"/>
    <w:rsid w:val="004B54C0"/>
    <w:rsid w:val="004C1BE1"/>
    <w:rsid w:val="004C4EC8"/>
    <w:rsid w:val="004C74B3"/>
    <w:rsid w:val="004E15CC"/>
    <w:rsid w:val="004E3E8D"/>
    <w:rsid w:val="004E6412"/>
    <w:rsid w:val="0050189F"/>
    <w:rsid w:val="00503CEA"/>
    <w:rsid w:val="00505C5A"/>
    <w:rsid w:val="005065DF"/>
    <w:rsid w:val="00511154"/>
    <w:rsid w:val="005123A3"/>
    <w:rsid w:val="00512405"/>
    <w:rsid w:val="00512C9D"/>
    <w:rsid w:val="00515841"/>
    <w:rsid w:val="005213DE"/>
    <w:rsid w:val="0052641C"/>
    <w:rsid w:val="00532DC0"/>
    <w:rsid w:val="00533150"/>
    <w:rsid w:val="00547452"/>
    <w:rsid w:val="00547668"/>
    <w:rsid w:val="00547B74"/>
    <w:rsid w:val="00552D33"/>
    <w:rsid w:val="00561B86"/>
    <w:rsid w:val="0056230A"/>
    <w:rsid w:val="00563EDD"/>
    <w:rsid w:val="00571253"/>
    <w:rsid w:val="00572B7B"/>
    <w:rsid w:val="00580FF7"/>
    <w:rsid w:val="005818F5"/>
    <w:rsid w:val="00587041"/>
    <w:rsid w:val="005A0881"/>
    <w:rsid w:val="005A2637"/>
    <w:rsid w:val="005A303F"/>
    <w:rsid w:val="005A428B"/>
    <w:rsid w:val="005A4F60"/>
    <w:rsid w:val="005B2CD0"/>
    <w:rsid w:val="005B577C"/>
    <w:rsid w:val="005B5E87"/>
    <w:rsid w:val="005C3FC6"/>
    <w:rsid w:val="005C4E14"/>
    <w:rsid w:val="005D0D7A"/>
    <w:rsid w:val="005D2033"/>
    <w:rsid w:val="005D75CF"/>
    <w:rsid w:val="005E2196"/>
    <w:rsid w:val="005E3D2C"/>
    <w:rsid w:val="005E79F1"/>
    <w:rsid w:val="005E7A5C"/>
    <w:rsid w:val="005F38DE"/>
    <w:rsid w:val="005F3A7E"/>
    <w:rsid w:val="005F47C8"/>
    <w:rsid w:val="00601944"/>
    <w:rsid w:val="0060529C"/>
    <w:rsid w:val="006052F6"/>
    <w:rsid w:val="006077B0"/>
    <w:rsid w:val="00612703"/>
    <w:rsid w:val="00617C31"/>
    <w:rsid w:val="00620651"/>
    <w:rsid w:val="0062226E"/>
    <w:rsid w:val="00622FFD"/>
    <w:rsid w:val="00623837"/>
    <w:rsid w:val="00625E90"/>
    <w:rsid w:val="00632DE9"/>
    <w:rsid w:val="00637484"/>
    <w:rsid w:val="00640C1D"/>
    <w:rsid w:val="006413D4"/>
    <w:rsid w:val="00641528"/>
    <w:rsid w:val="00642928"/>
    <w:rsid w:val="006515D5"/>
    <w:rsid w:val="00655086"/>
    <w:rsid w:val="00655A62"/>
    <w:rsid w:val="00656928"/>
    <w:rsid w:val="006707A7"/>
    <w:rsid w:val="00673235"/>
    <w:rsid w:val="00675208"/>
    <w:rsid w:val="00677739"/>
    <w:rsid w:val="006807A8"/>
    <w:rsid w:val="00681E57"/>
    <w:rsid w:val="0068341D"/>
    <w:rsid w:val="00683CC8"/>
    <w:rsid w:val="006919A7"/>
    <w:rsid w:val="006B7AA4"/>
    <w:rsid w:val="006C2328"/>
    <w:rsid w:val="006C239D"/>
    <w:rsid w:val="006C6158"/>
    <w:rsid w:val="006C72C4"/>
    <w:rsid w:val="006D5263"/>
    <w:rsid w:val="006D5C9F"/>
    <w:rsid w:val="006E02B9"/>
    <w:rsid w:val="006E304D"/>
    <w:rsid w:val="006E4854"/>
    <w:rsid w:val="006E6B58"/>
    <w:rsid w:val="007005E1"/>
    <w:rsid w:val="007018BE"/>
    <w:rsid w:val="00703570"/>
    <w:rsid w:val="00704BB2"/>
    <w:rsid w:val="007175CE"/>
    <w:rsid w:val="00731163"/>
    <w:rsid w:val="007332E8"/>
    <w:rsid w:val="00737A18"/>
    <w:rsid w:val="00742C6F"/>
    <w:rsid w:val="007457B2"/>
    <w:rsid w:val="007501FA"/>
    <w:rsid w:val="00752117"/>
    <w:rsid w:val="00755E2B"/>
    <w:rsid w:val="00762762"/>
    <w:rsid w:val="00764C3F"/>
    <w:rsid w:val="00767F79"/>
    <w:rsid w:val="00770B55"/>
    <w:rsid w:val="0077513C"/>
    <w:rsid w:val="00782A04"/>
    <w:rsid w:val="007969DF"/>
    <w:rsid w:val="007A4580"/>
    <w:rsid w:val="007A5AF7"/>
    <w:rsid w:val="007B2254"/>
    <w:rsid w:val="007B3AA9"/>
    <w:rsid w:val="007C0C81"/>
    <w:rsid w:val="007C0F4C"/>
    <w:rsid w:val="007C5852"/>
    <w:rsid w:val="007D14DF"/>
    <w:rsid w:val="007D31D6"/>
    <w:rsid w:val="007D3769"/>
    <w:rsid w:val="007D37F8"/>
    <w:rsid w:val="007D7F87"/>
    <w:rsid w:val="007E2130"/>
    <w:rsid w:val="007E2E0E"/>
    <w:rsid w:val="007E5319"/>
    <w:rsid w:val="007E678E"/>
    <w:rsid w:val="007E7786"/>
    <w:rsid w:val="007F0CBC"/>
    <w:rsid w:val="007F4678"/>
    <w:rsid w:val="00802245"/>
    <w:rsid w:val="00803DFD"/>
    <w:rsid w:val="00805DCB"/>
    <w:rsid w:val="00806B4A"/>
    <w:rsid w:val="00810ECA"/>
    <w:rsid w:val="00813889"/>
    <w:rsid w:val="00814065"/>
    <w:rsid w:val="00814B3B"/>
    <w:rsid w:val="00822109"/>
    <w:rsid w:val="00830B88"/>
    <w:rsid w:val="00832EF7"/>
    <w:rsid w:val="0083758C"/>
    <w:rsid w:val="00837EA1"/>
    <w:rsid w:val="00837F99"/>
    <w:rsid w:val="008427F2"/>
    <w:rsid w:val="008441BE"/>
    <w:rsid w:val="00844246"/>
    <w:rsid w:val="00847A00"/>
    <w:rsid w:val="00854DDF"/>
    <w:rsid w:val="00856814"/>
    <w:rsid w:val="00867E5E"/>
    <w:rsid w:val="008712B7"/>
    <w:rsid w:val="008768C5"/>
    <w:rsid w:val="00880AFE"/>
    <w:rsid w:val="008811D5"/>
    <w:rsid w:val="00882FDC"/>
    <w:rsid w:val="00883E1C"/>
    <w:rsid w:val="00884E11"/>
    <w:rsid w:val="008856D2"/>
    <w:rsid w:val="00890C98"/>
    <w:rsid w:val="0089153A"/>
    <w:rsid w:val="00891CA4"/>
    <w:rsid w:val="00894867"/>
    <w:rsid w:val="00897DA7"/>
    <w:rsid w:val="008A0465"/>
    <w:rsid w:val="008A1EE7"/>
    <w:rsid w:val="008A2244"/>
    <w:rsid w:val="008A4A7A"/>
    <w:rsid w:val="008B68BE"/>
    <w:rsid w:val="008C1055"/>
    <w:rsid w:val="008D0D5A"/>
    <w:rsid w:val="008D10EC"/>
    <w:rsid w:val="008D213F"/>
    <w:rsid w:val="008D4CA1"/>
    <w:rsid w:val="008D5425"/>
    <w:rsid w:val="008E2348"/>
    <w:rsid w:val="008E29A7"/>
    <w:rsid w:val="008E40AE"/>
    <w:rsid w:val="008F3192"/>
    <w:rsid w:val="008F52AC"/>
    <w:rsid w:val="008F550B"/>
    <w:rsid w:val="0090356C"/>
    <w:rsid w:val="009053C4"/>
    <w:rsid w:val="009076D4"/>
    <w:rsid w:val="00910FCC"/>
    <w:rsid w:val="00911A0C"/>
    <w:rsid w:val="009301AF"/>
    <w:rsid w:val="00931697"/>
    <w:rsid w:val="0094348A"/>
    <w:rsid w:val="00946C69"/>
    <w:rsid w:val="00947185"/>
    <w:rsid w:val="00950AC4"/>
    <w:rsid w:val="009552E7"/>
    <w:rsid w:val="009572E7"/>
    <w:rsid w:val="0096183E"/>
    <w:rsid w:val="00963B8A"/>
    <w:rsid w:val="00976CDF"/>
    <w:rsid w:val="00977534"/>
    <w:rsid w:val="009909E6"/>
    <w:rsid w:val="00996B63"/>
    <w:rsid w:val="009976ED"/>
    <w:rsid w:val="00997A46"/>
    <w:rsid w:val="009A3ED0"/>
    <w:rsid w:val="009B0873"/>
    <w:rsid w:val="009B1422"/>
    <w:rsid w:val="009B5AC2"/>
    <w:rsid w:val="009B76CA"/>
    <w:rsid w:val="009C31BC"/>
    <w:rsid w:val="009C798A"/>
    <w:rsid w:val="009D7CC3"/>
    <w:rsid w:val="009E0A5A"/>
    <w:rsid w:val="009E3E4E"/>
    <w:rsid w:val="009E4994"/>
    <w:rsid w:val="009E6C54"/>
    <w:rsid w:val="009F2A4B"/>
    <w:rsid w:val="009F5B32"/>
    <w:rsid w:val="009F7937"/>
    <w:rsid w:val="00A00B7D"/>
    <w:rsid w:val="00A02140"/>
    <w:rsid w:val="00A044AF"/>
    <w:rsid w:val="00A04F6C"/>
    <w:rsid w:val="00A07A6A"/>
    <w:rsid w:val="00A12F4A"/>
    <w:rsid w:val="00A1553E"/>
    <w:rsid w:val="00A16A40"/>
    <w:rsid w:val="00A207F6"/>
    <w:rsid w:val="00A2404A"/>
    <w:rsid w:val="00A37CD1"/>
    <w:rsid w:val="00A54496"/>
    <w:rsid w:val="00A54527"/>
    <w:rsid w:val="00A5629F"/>
    <w:rsid w:val="00A61E5F"/>
    <w:rsid w:val="00A66E66"/>
    <w:rsid w:val="00A70982"/>
    <w:rsid w:val="00A73BA7"/>
    <w:rsid w:val="00A80E83"/>
    <w:rsid w:val="00A8355F"/>
    <w:rsid w:val="00A90544"/>
    <w:rsid w:val="00A905EE"/>
    <w:rsid w:val="00A91284"/>
    <w:rsid w:val="00A91C7E"/>
    <w:rsid w:val="00A94347"/>
    <w:rsid w:val="00A9446D"/>
    <w:rsid w:val="00A94B1B"/>
    <w:rsid w:val="00A94D3C"/>
    <w:rsid w:val="00A95BF7"/>
    <w:rsid w:val="00AA412F"/>
    <w:rsid w:val="00AA43E3"/>
    <w:rsid w:val="00AA4C09"/>
    <w:rsid w:val="00AA5127"/>
    <w:rsid w:val="00AA568B"/>
    <w:rsid w:val="00AA5741"/>
    <w:rsid w:val="00AA5E06"/>
    <w:rsid w:val="00AA7B54"/>
    <w:rsid w:val="00AB1D25"/>
    <w:rsid w:val="00AB5622"/>
    <w:rsid w:val="00AB5BE6"/>
    <w:rsid w:val="00AD229C"/>
    <w:rsid w:val="00AD534E"/>
    <w:rsid w:val="00AD58A8"/>
    <w:rsid w:val="00AD5BA0"/>
    <w:rsid w:val="00AD7478"/>
    <w:rsid w:val="00AE0D26"/>
    <w:rsid w:val="00AE2CBD"/>
    <w:rsid w:val="00AE5204"/>
    <w:rsid w:val="00AF19C1"/>
    <w:rsid w:val="00AF76D8"/>
    <w:rsid w:val="00B02415"/>
    <w:rsid w:val="00B0374A"/>
    <w:rsid w:val="00B0631C"/>
    <w:rsid w:val="00B11E4B"/>
    <w:rsid w:val="00B14A67"/>
    <w:rsid w:val="00B14D76"/>
    <w:rsid w:val="00B20AAF"/>
    <w:rsid w:val="00B27ECE"/>
    <w:rsid w:val="00B32CB9"/>
    <w:rsid w:val="00B45E87"/>
    <w:rsid w:val="00B51193"/>
    <w:rsid w:val="00B5591E"/>
    <w:rsid w:val="00B55C87"/>
    <w:rsid w:val="00B64945"/>
    <w:rsid w:val="00B66CE9"/>
    <w:rsid w:val="00B67470"/>
    <w:rsid w:val="00B830B0"/>
    <w:rsid w:val="00B90C82"/>
    <w:rsid w:val="00B91F7B"/>
    <w:rsid w:val="00B94EBA"/>
    <w:rsid w:val="00B97A0A"/>
    <w:rsid w:val="00BA1F03"/>
    <w:rsid w:val="00BA2DF4"/>
    <w:rsid w:val="00BB01FD"/>
    <w:rsid w:val="00BB1049"/>
    <w:rsid w:val="00BB10D7"/>
    <w:rsid w:val="00BE28B4"/>
    <w:rsid w:val="00BE5383"/>
    <w:rsid w:val="00BF07A0"/>
    <w:rsid w:val="00BF0C59"/>
    <w:rsid w:val="00BF170E"/>
    <w:rsid w:val="00C006E8"/>
    <w:rsid w:val="00C049E2"/>
    <w:rsid w:val="00C04EBE"/>
    <w:rsid w:val="00C21FC6"/>
    <w:rsid w:val="00C2723D"/>
    <w:rsid w:val="00C44144"/>
    <w:rsid w:val="00C44735"/>
    <w:rsid w:val="00C459D9"/>
    <w:rsid w:val="00C520F4"/>
    <w:rsid w:val="00C56092"/>
    <w:rsid w:val="00C61474"/>
    <w:rsid w:val="00C61B15"/>
    <w:rsid w:val="00C652DB"/>
    <w:rsid w:val="00C7094C"/>
    <w:rsid w:val="00C759C4"/>
    <w:rsid w:val="00C77B39"/>
    <w:rsid w:val="00C84DB9"/>
    <w:rsid w:val="00C904B2"/>
    <w:rsid w:val="00C90528"/>
    <w:rsid w:val="00C930D6"/>
    <w:rsid w:val="00C94966"/>
    <w:rsid w:val="00CA0F1E"/>
    <w:rsid w:val="00CB0F6A"/>
    <w:rsid w:val="00CB4338"/>
    <w:rsid w:val="00CB4B18"/>
    <w:rsid w:val="00CB5EF0"/>
    <w:rsid w:val="00CC0949"/>
    <w:rsid w:val="00CC3257"/>
    <w:rsid w:val="00CC3D58"/>
    <w:rsid w:val="00CD1523"/>
    <w:rsid w:val="00CD3E27"/>
    <w:rsid w:val="00CD4806"/>
    <w:rsid w:val="00CE52C8"/>
    <w:rsid w:val="00CF3C02"/>
    <w:rsid w:val="00D016B6"/>
    <w:rsid w:val="00D04E02"/>
    <w:rsid w:val="00D05D42"/>
    <w:rsid w:val="00D05DDC"/>
    <w:rsid w:val="00D15083"/>
    <w:rsid w:val="00D15E93"/>
    <w:rsid w:val="00D15E99"/>
    <w:rsid w:val="00D200BC"/>
    <w:rsid w:val="00D2261C"/>
    <w:rsid w:val="00D228A4"/>
    <w:rsid w:val="00D23EC1"/>
    <w:rsid w:val="00D25A57"/>
    <w:rsid w:val="00D26BD2"/>
    <w:rsid w:val="00D3635F"/>
    <w:rsid w:val="00D4122F"/>
    <w:rsid w:val="00D41877"/>
    <w:rsid w:val="00D45468"/>
    <w:rsid w:val="00D525A1"/>
    <w:rsid w:val="00D60079"/>
    <w:rsid w:val="00D65764"/>
    <w:rsid w:val="00D74F27"/>
    <w:rsid w:val="00D808A8"/>
    <w:rsid w:val="00D85A7D"/>
    <w:rsid w:val="00D931D2"/>
    <w:rsid w:val="00D9420F"/>
    <w:rsid w:val="00D95C9C"/>
    <w:rsid w:val="00D965D6"/>
    <w:rsid w:val="00DA547C"/>
    <w:rsid w:val="00DA588C"/>
    <w:rsid w:val="00DB65DB"/>
    <w:rsid w:val="00DC0FD1"/>
    <w:rsid w:val="00DC158F"/>
    <w:rsid w:val="00DC38F8"/>
    <w:rsid w:val="00DC39B8"/>
    <w:rsid w:val="00DC4319"/>
    <w:rsid w:val="00DC45B8"/>
    <w:rsid w:val="00DC5FAC"/>
    <w:rsid w:val="00DE175E"/>
    <w:rsid w:val="00DE43F6"/>
    <w:rsid w:val="00DF0C6C"/>
    <w:rsid w:val="00DF179E"/>
    <w:rsid w:val="00DF194F"/>
    <w:rsid w:val="00DF2AB2"/>
    <w:rsid w:val="00DF4D0D"/>
    <w:rsid w:val="00DF753D"/>
    <w:rsid w:val="00E0060A"/>
    <w:rsid w:val="00E021A0"/>
    <w:rsid w:val="00E14E8A"/>
    <w:rsid w:val="00E15A07"/>
    <w:rsid w:val="00E16F91"/>
    <w:rsid w:val="00E232EC"/>
    <w:rsid w:val="00E24ADC"/>
    <w:rsid w:val="00E2532F"/>
    <w:rsid w:val="00E3641F"/>
    <w:rsid w:val="00E479BD"/>
    <w:rsid w:val="00E537F9"/>
    <w:rsid w:val="00E63701"/>
    <w:rsid w:val="00E67DA4"/>
    <w:rsid w:val="00E74628"/>
    <w:rsid w:val="00E75AD9"/>
    <w:rsid w:val="00E80375"/>
    <w:rsid w:val="00E833A1"/>
    <w:rsid w:val="00E834BC"/>
    <w:rsid w:val="00E903B9"/>
    <w:rsid w:val="00E90A33"/>
    <w:rsid w:val="00E97142"/>
    <w:rsid w:val="00EA3381"/>
    <w:rsid w:val="00EA794C"/>
    <w:rsid w:val="00EB082F"/>
    <w:rsid w:val="00EB39FA"/>
    <w:rsid w:val="00EB3CA8"/>
    <w:rsid w:val="00EB426B"/>
    <w:rsid w:val="00EB708C"/>
    <w:rsid w:val="00EC0B0D"/>
    <w:rsid w:val="00EC240E"/>
    <w:rsid w:val="00EC2AE6"/>
    <w:rsid w:val="00EC358F"/>
    <w:rsid w:val="00ED5930"/>
    <w:rsid w:val="00ED6557"/>
    <w:rsid w:val="00EE130F"/>
    <w:rsid w:val="00EE17FF"/>
    <w:rsid w:val="00EE40F3"/>
    <w:rsid w:val="00EF082C"/>
    <w:rsid w:val="00EF0C13"/>
    <w:rsid w:val="00EF0EA4"/>
    <w:rsid w:val="00EF3FD0"/>
    <w:rsid w:val="00EF6247"/>
    <w:rsid w:val="00EF6853"/>
    <w:rsid w:val="00F00637"/>
    <w:rsid w:val="00F04225"/>
    <w:rsid w:val="00F074F4"/>
    <w:rsid w:val="00F134E4"/>
    <w:rsid w:val="00F146FC"/>
    <w:rsid w:val="00F1766F"/>
    <w:rsid w:val="00F22D9B"/>
    <w:rsid w:val="00F23362"/>
    <w:rsid w:val="00F24633"/>
    <w:rsid w:val="00F3055F"/>
    <w:rsid w:val="00F31C5F"/>
    <w:rsid w:val="00F3220B"/>
    <w:rsid w:val="00F32E97"/>
    <w:rsid w:val="00F36DC3"/>
    <w:rsid w:val="00F47F20"/>
    <w:rsid w:val="00F51C40"/>
    <w:rsid w:val="00F5236B"/>
    <w:rsid w:val="00F64BE2"/>
    <w:rsid w:val="00F712B6"/>
    <w:rsid w:val="00F76C6F"/>
    <w:rsid w:val="00F804E2"/>
    <w:rsid w:val="00F860A8"/>
    <w:rsid w:val="00F96828"/>
    <w:rsid w:val="00F96CB5"/>
    <w:rsid w:val="00F9765B"/>
    <w:rsid w:val="00FA7509"/>
    <w:rsid w:val="00FA764A"/>
    <w:rsid w:val="00FB1905"/>
    <w:rsid w:val="00FB5D88"/>
    <w:rsid w:val="00FB799A"/>
    <w:rsid w:val="00FC0153"/>
    <w:rsid w:val="00FC6115"/>
    <w:rsid w:val="00FC682A"/>
    <w:rsid w:val="00FC7CE0"/>
    <w:rsid w:val="00FD3CFF"/>
    <w:rsid w:val="00FD5000"/>
    <w:rsid w:val="00FE4FB0"/>
    <w:rsid w:val="00FF3B4E"/>
    <w:rsid w:val="00FF3FB0"/>
    <w:rsid w:val="00FF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81674E"/>
  <w15:chartTrackingRefBased/>
  <w15:docId w15:val="{AF12D379-156E-4DEF-9500-6A74BC3C4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semiHidden/>
    <w:qFormat/>
    <w:rsid w:val="009B5AC2"/>
    <w:pPr>
      <w:widowControl w:val="0"/>
    </w:pPr>
    <w:rPr>
      <w:snapToGrid w:val="0"/>
      <w:sz w:val="24"/>
      <w:lang w:eastAsia="en-US"/>
    </w:rPr>
  </w:style>
  <w:style w:type="paragraph" w:styleId="Heading1">
    <w:name w:val="heading 1"/>
    <w:basedOn w:val="Normal"/>
    <w:next w:val="Normal"/>
    <w:semiHidden/>
    <w:qFormat/>
    <w:locked/>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locked/>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locked/>
    <w:pPr>
      <w:keepNext/>
      <w:spacing w:before="240" w:after="60"/>
      <w:outlineLvl w:val="2"/>
    </w:pPr>
    <w:rPr>
      <w:rFonts w:ascii="Arial" w:hAnsi="Arial" w:cs="Arial"/>
      <w:b/>
      <w:bCs/>
      <w:sz w:val="26"/>
      <w:szCs w:val="26"/>
    </w:rPr>
  </w:style>
  <w:style w:type="paragraph" w:styleId="Heading4">
    <w:name w:val="heading 4"/>
    <w:basedOn w:val="Normal"/>
    <w:next w:val="Normal"/>
    <w:semiHidden/>
    <w:qFormat/>
    <w:locked/>
    <w:pPr>
      <w:keepNext/>
      <w:spacing w:before="240" w:after="60"/>
      <w:outlineLvl w:val="3"/>
    </w:pPr>
    <w:rPr>
      <w:b/>
      <w:bCs/>
      <w:sz w:val="28"/>
      <w:szCs w:val="28"/>
    </w:rPr>
  </w:style>
  <w:style w:type="paragraph" w:styleId="Heading5">
    <w:name w:val="heading 5"/>
    <w:basedOn w:val="Normal"/>
    <w:next w:val="Normal"/>
    <w:semiHidden/>
    <w:qFormat/>
    <w:locked/>
    <w:pPr>
      <w:spacing w:before="240" w:after="60"/>
      <w:outlineLvl w:val="4"/>
    </w:pPr>
    <w:rPr>
      <w:b/>
      <w:bCs/>
      <w:i/>
      <w:iCs/>
      <w:sz w:val="26"/>
      <w:szCs w:val="26"/>
    </w:rPr>
  </w:style>
  <w:style w:type="paragraph" w:styleId="Heading6">
    <w:name w:val="heading 6"/>
    <w:basedOn w:val="Normal"/>
    <w:next w:val="Normal"/>
    <w:semiHidden/>
    <w:qFormat/>
    <w:locked/>
    <w:pPr>
      <w:spacing w:before="240" w:after="60"/>
      <w:outlineLvl w:val="5"/>
    </w:pPr>
    <w:rPr>
      <w:b/>
      <w:bCs/>
      <w:sz w:val="22"/>
      <w:szCs w:val="22"/>
    </w:rPr>
  </w:style>
  <w:style w:type="paragraph" w:styleId="Heading7">
    <w:name w:val="heading 7"/>
    <w:basedOn w:val="Normal"/>
    <w:next w:val="Normal"/>
    <w:semiHidden/>
    <w:qFormat/>
    <w:locked/>
    <w:pPr>
      <w:spacing w:before="240" w:after="60"/>
      <w:outlineLvl w:val="6"/>
    </w:pPr>
    <w:rPr>
      <w:szCs w:val="24"/>
    </w:rPr>
  </w:style>
  <w:style w:type="paragraph" w:styleId="Heading8">
    <w:name w:val="heading 8"/>
    <w:basedOn w:val="Normal"/>
    <w:next w:val="Normal"/>
    <w:semiHidden/>
    <w:qFormat/>
    <w:locked/>
    <w:pPr>
      <w:spacing w:before="240" w:after="60"/>
      <w:outlineLvl w:val="7"/>
    </w:pPr>
    <w:rPr>
      <w:i/>
      <w:iCs/>
      <w:szCs w:val="24"/>
    </w:rPr>
  </w:style>
  <w:style w:type="paragraph" w:styleId="Heading9">
    <w:name w:val="heading 9"/>
    <w:basedOn w:val="Normal"/>
    <w:next w:val="Normal"/>
    <w:semiHidden/>
    <w:qFormat/>
    <w:locke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1"/>
    <w:locked/>
    <w:rsid w:val="00880AFE"/>
    <w:rPr>
      <w:rFonts w:ascii="Segoe UI" w:hAnsi="Segoe UI"/>
      <w:sz w:val="21"/>
      <w:vertAlign w:val="superscript"/>
    </w:rPr>
  </w:style>
  <w:style w:type="paragraph" w:customStyle="1" w:styleId="T4title1">
    <w:name w:val="T4 title 1"/>
    <w:basedOn w:val="Normal"/>
    <w:next w:val="T4title2"/>
    <w:qFormat/>
    <w:rsid w:val="00EA794C"/>
    <w:pPr>
      <w:widowControl/>
      <w:spacing w:before="1880" w:line="300" w:lineRule="exact"/>
      <w:ind w:right="1134"/>
    </w:pPr>
    <w:rPr>
      <w:rFonts w:ascii="Segoe UI Semibold" w:hAnsi="Segoe UI Semibold"/>
      <w:b/>
      <w:sz w:val="22"/>
    </w:rPr>
  </w:style>
  <w:style w:type="paragraph" w:customStyle="1" w:styleId="T4title2">
    <w:name w:val="T4 title 2"/>
    <w:basedOn w:val="Normal"/>
    <w:qFormat/>
    <w:pPr>
      <w:spacing w:line="300" w:lineRule="exact"/>
      <w:ind w:right="1159"/>
    </w:pPr>
    <w:rPr>
      <w:rFonts w:ascii="Segoe UI" w:hAnsi="Segoe UI"/>
      <w:sz w:val="22"/>
    </w:rPr>
  </w:style>
  <w:style w:type="paragraph" w:customStyle="1" w:styleId="T4pagenumber">
    <w:name w:val="T4 page number"/>
    <w:basedOn w:val="Normal"/>
    <w:rsid w:val="00F3055F"/>
    <w:pPr>
      <w:tabs>
        <w:tab w:val="right" w:pos="8108"/>
      </w:tabs>
      <w:spacing w:line="220" w:lineRule="exact"/>
    </w:pPr>
    <w:rPr>
      <w:rFonts w:ascii="Segoe UI Semibold" w:hAnsi="Segoe UI Semibold"/>
      <w:sz w:val="22"/>
    </w:rPr>
  </w:style>
  <w:style w:type="paragraph" w:customStyle="1" w:styleId="T4bodytext">
    <w:name w:val="T4 body text"/>
    <w:basedOn w:val="Normal"/>
    <w:qFormat/>
    <w:pPr>
      <w:widowControl/>
      <w:spacing w:after="140" w:line="300" w:lineRule="exact"/>
      <w:outlineLvl w:val="0"/>
    </w:pPr>
    <w:rPr>
      <w:rFonts w:ascii="Segoe UI" w:hAnsi="Segoe UI"/>
      <w:sz w:val="22"/>
    </w:rPr>
  </w:style>
  <w:style w:type="character" w:customStyle="1" w:styleId="T4underline">
    <w:name w:val="T4 underline"/>
    <w:qFormat/>
    <w:rsid w:val="002762DC"/>
    <w:rPr>
      <w:u w:val="single"/>
    </w:rPr>
  </w:style>
  <w:style w:type="paragraph" w:styleId="EndnoteText">
    <w:name w:val="endnote text"/>
    <w:basedOn w:val="T4bodytext"/>
    <w:semiHidden/>
    <w:locked/>
    <w:rPr>
      <w:sz w:val="20"/>
    </w:rPr>
  </w:style>
  <w:style w:type="paragraph" w:styleId="FootnoteText">
    <w:name w:val="footnote text"/>
    <w:basedOn w:val="T4bodytext"/>
    <w:uiPriority w:val="1"/>
    <w:locked/>
    <w:rPr>
      <w:sz w:val="18"/>
    </w:rPr>
  </w:style>
  <w:style w:type="character" w:styleId="EndnoteReference">
    <w:name w:val="endnote reference"/>
    <w:semiHidden/>
    <w:locked/>
    <w:rsid w:val="00880AFE"/>
    <w:rPr>
      <w:sz w:val="21"/>
      <w:vertAlign w:val="superscript"/>
    </w:rPr>
  </w:style>
  <w:style w:type="paragraph" w:styleId="TOC1">
    <w:name w:val="toc 1"/>
    <w:basedOn w:val="Normal"/>
    <w:next w:val="Normal"/>
    <w:autoRedefine/>
    <w:semiHidden/>
    <w:locked/>
  </w:style>
  <w:style w:type="paragraph" w:styleId="TOC2">
    <w:name w:val="toc 2"/>
    <w:basedOn w:val="Normal"/>
    <w:next w:val="Normal"/>
    <w:autoRedefine/>
    <w:semiHidden/>
    <w:locked/>
    <w:pPr>
      <w:ind w:left="240"/>
    </w:pPr>
  </w:style>
  <w:style w:type="paragraph" w:customStyle="1" w:styleId="T4bulletlevel2">
    <w:name w:val="T4 bullet level 2"/>
    <w:basedOn w:val="Normal"/>
    <w:qFormat/>
    <w:pPr>
      <w:numPr>
        <w:ilvl w:val="1"/>
        <w:numId w:val="1"/>
      </w:numPr>
      <w:tabs>
        <w:tab w:val="left" w:pos="227"/>
        <w:tab w:val="left" w:pos="454"/>
      </w:tabs>
      <w:spacing w:after="140"/>
    </w:pPr>
    <w:rPr>
      <w:rFonts w:ascii="Segoe UI" w:hAnsi="Segoe UI"/>
      <w:sz w:val="22"/>
    </w:rPr>
  </w:style>
  <w:style w:type="paragraph" w:customStyle="1" w:styleId="T4bulletlevel1">
    <w:name w:val="T4 bullet level 1"/>
    <w:basedOn w:val="Normal"/>
    <w:qFormat/>
    <w:pPr>
      <w:numPr>
        <w:numId w:val="2"/>
      </w:numPr>
      <w:tabs>
        <w:tab w:val="left" w:pos="227"/>
        <w:tab w:val="left" w:pos="454"/>
      </w:tabs>
      <w:spacing w:after="140"/>
      <w:ind w:left="227" w:hanging="227"/>
    </w:pPr>
    <w:rPr>
      <w:rFonts w:ascii="Segoe UI" w:hAnsi="Segoe UI"/>
      <w:sz w:val="22"/>
    </w:rPr>
  </w:style>
  <w:style w:type="paragraph" w:customStyle="1" w:styleId="T4mainheading">
    <w:name w:val="T4 main heading"/>
    <w:basedOn w:val="Normal"/>
    <w:next w:val="T4bodytext"/>
    <w:qFormat/>
    <w:pPr>
      <w:spacing w:before="600" w:after="300"/>
    </w:pPr>
    <w:rPr>
      <w:rFonts w:ascii="Rockwell" w:hAnsi="Rockwell"/>
      <w:b/>
      <w:sz w:val="36"/>
    </w:rPr>
  </w:style>
  <w:style w:type="paragraph" w:customStyle="1" w:styleId="T4heading1">
    <w:name w:val="T4 heading 1"/>
    <w:basedOn w:val="Normal"/>
    <w:next w:val="T4bodytext"/>
    <w:qFormat/>
    <w:rsid w:val="00470FCA"/>
    <w:pPr>
      <w:keepNext/>
      <w:widowControl/>
      <w:spacing w:before="280" w:after="140" w:line="300" w:lineRule="exact"/>
    </w:pPr>
    <w:rPr>
      <w:rFonts w:ascii="Rockwell" w:hAnsi="Rockwell" w:cs="Segoe UI"/>
      <w:b/>
      <w:sz w:val="26"/>
    </w:rPr>
  </w:style>
  <w:style w:type="paragraph" w:styleId="Footer">
    <w:name w:val="footer"/>
    <w:basedOn w:val="Normal"/>
    <w:semiHidden/>
    <w:locked/>
    <w:pPr>
      <w:tabs>
        <w:tab w:val="right" w:pos="8108"/>
      </w:tabs>
      <w:spacing w:line="220" w:lineRule="exact"/>
    </w:pPr>
    <w:rPr>
      <w:rFonts w:ascii="Minion Pro" w:hAnsi="Minion Pro"/>
      <w:color w:val="0000FF"/>
      <w:sz w:val="17"/>
    </w:rPr>
  </w:style>
  <w:style w:type="paragraph" w:styleId="Header">
    <w:name w:val="header"/>
    <w:basedOn w:val="Normal"/>
    <w:semiHidden/>
    <w:locked/>
    <w:pPr>
      <w:tabs>
        <w:tab w:val="center" w:pos="4153"/>
        <w:tab w:val="right" w:pos="8306"/>
      </w:tabs>
    </w:pPr>
  </w:style>
  <w:style w:type="character" w:styleId="Hyperlink">
    <w:name w:val="Hyperlink"/>
    <w:uiPriority w:val="1"/>
    <w:rsid w:val="00E15A07"/>
    <w:rPr>
      <w:color w:val="457178"/>
      <w:u w:val="single"/>
    </w:rPr>
  </w:style>
  <w:style w:type="character" w:customStyle="1" w:styleId="T4boldtext">
    <w:name w:val="T4 bold text"/>
    <w:qFormat/>
    <w:rsid w:val="000C756E"/>
    <w:rPr>
      <w:rFonts w:ascii="Segoe UI Semibold" w:hAnsi="Segoe UI Semibold"/>
      <w:b w:val="0"/>
      <w:i w:val="0"/>
    </w:rPr>
  </w:style>
  <w:style w:type="character" w:customStyle="1" w:styleId="T4italictext">
    <w:name w:val="T4 italic text"/>
    <w:qFormat/>
    <w:rsid w:val="000C756E"/>
    <w:rPr>
      <w:i/>
    </w:rPr>
  </w:style>
  <w:style w:type="paragraph" w:customStyle="1" w:styleId="T4footer">
    <w:name w:val="T4 footer"/>
    <w:basedOn w:val="T4bodytext"/>
    <w:qFormat/>
    <w:rsid w:val="00F3055F"/>
    <w:pPr>
      <w:suppressAutoHyphens/>
      <w:spacing w:after="0" w:line="240" w:lineRule="auto"/>
    </w:pPr>
    <w:rPr>
      <w:rFonts w:cs="Segoe UI"/>
      <w:sz w:val="18"/>
      <w:szCs w:val="18"/>
    </w:rPr>
  </w:style>
  <w:style w:type="paragraph" w:customStyle="1" w:styleId="T4heading2">
    <w:name w:val="T4 heading 2"/>
    <w:basedOn w:val="T4heading1"/>
    <w:next w:val="T4bodytext"/>
    <w:qFormat/>
    <w:rsid w:val="00470FCA"/>
    <w:pPr>
      <w:spacing w:line="260" w:lineRule="exact"/>
    </w:pPr>
    <w:rPr>
      <w:sz w:val="22"/>
    </w:rPr>
  </w:style>
  <w:style w:type="character" w:customStyle="1" w:styleId="T4superscript">
    <w:name w:val="T4 superscript"/>
    <w:qFormat/>
    <w:rsid w:val="002762DC"/>
    <w:rPr>
      <w:vertAlign w:val="superscript"/>
    </w:rPr>
  </w:style>
  <w:style w:type="character" w:customStyle="1" w:styleId="T4subscript">
    <w:name w:val="T4 subscript"/>
    <w:qFormat/>
    <w:rsid w:val="002762DC"/>
    <w:rPr>
      <w:vertAlign w:val="subscript"/>
    </w:rPr>
  </w:style>
  <w:style w:type="character" w:styleId="UnresolvedMention">
    <w:name w:val="Unresolved Mention"/>
    <w:uiPriority w:val="99"/>
    <w:unhideWhenUsed/>
    <w:locked/>
    <w:rsid w:val="00D9420F"/>
    <w:rPr>
      <w:color w:val="605E5C"/>
      <w:shd w:val="clear" w:color="auto" w:fill="E1DFDD"/>
    </w:rPr>
  </w:style>
  <w:style w:type="character" w:styleId="CommentReference">
    <w:name w:val="annotation reference"/>
    <w:uiPriority w:val="99"/>
    <w:semiHidden/>
    <w:unhideWhenUsed/>
    <w:locked/>
    <w:rsid w:val="00A16A40"/>
    <w:rPr>
      <w:sz w:val="16"/>
      <w:szCs w:val="16"/>
    </w:rPr>
  </w:style>
  <w:style w:type="paragraph" w:styleId="CommentText">
    <w:name w:val="annotation text"/>
    <w:basedOn w:val="Normal"/>
    <w:link w:val="CommentTextChar"/>
    <w:uiPriority w:val="99"/>
    <w:unhideWhenUsed/>
    <w:locked/>
    <w:rsid w:val="00A16A40"/>
    <w:rPr>
      <w:sz w:val="20"/>
    </w:rPr>
  </w:style>
  <w:style w:type="character" w:customStyle="1" w:styleId="CommentTextChar">
    <w:name w:val="Comment Text Char"/>
    <w:link w:val="CommentText"/>
    <w:uiPriority w:val="99"/>
    <w:rsid w:val="00A16A40"/>
    <w:rPr>
      <w:snapToGrid w:val="0"/>
      <w:lang w:eastAsia="en-US"/>
    </w:rPr>
  </w:style>
  <w:style w:type="paragraph" w:styleId="CommentSubject">
    <w:name w:val="annotation subject"/>
    <w:basedOn w:val="CommentText"/>
    <w:next w:val="CommentText"/>
    <w:link w:val="CommentSubjectChar"/>
    <w:uiPriority w:val="99"/>
    <w:semiHidden/>
    <w:unhideWhenUsed/>
    <w:locked/>
    <w:rsid w:val="00A16A40"/>
    <w:rPr>
      <w:b/>
      <w:bCs/>
    </w:rPr>
  </w:style>
  <w:style w:type="character" w:customStyle="1" w:styleId="CommentSubjectChar">
    <w:name w:val="Comment Subject Char"/>
    <w:link w:val="CommentSubject"/>
    <w:uiPriority w:val="99"/>
    <w:semiHidden/>
    <w:rsid w:val="00A16A40"/>
    <w:rPr>
      <w:b/>
      <w:bCs/>
      <w:snapToGrid w:val="0"/>
      <w:lang w:eastAsia="en-US"/>
    </w:rPr>
  </w:style>
  <w:style w:type="paragraph" w:styleId="BalloonText">
    <w:name w:val="Balloon Text"/>
    <w:basedOn w:val="Normal"/>
    <w:link w:val="BalloonTextChar"/>
    <w:uiPriority w:val="99"/>
    <w:semiHidden/>
    <w:unhideWhenUsed/>
    <w:locked/>
    <w:rsid w:val="00A16A40"/>
    <w:rPr>
      <w:rFonts w:ascii="Segoe UI" w:hAnsi="Segoe UI" w:cs="Segoe UI"/>
      <w:sz w:val="18"/>
      <w:szCs w:val="18"/>
    </w:rPr>
  </w:style>
  <w:style w:type="character" w:customStyle="1" w:styleId="BalloonTextChar">
    <w:name w:val="Balloon Text Char"/>
    <w:link w:val="BalloonText"/>
    <w:uiPriority w:val="99"/>
    <w:semiHidden/>
    <w:rsid w:val="00A16A40"/>
    <w:rPr>
      <w:rFonts w:ascii="Segoe UI" w:hAnsi="Segoe UI" w:cs="Segoe UI"/>
      <w:snapToGrid w:val="0"/>
      <w:sz w:val="18"/>
      <w:szCs w:val="18"/>
      <w:lang w:eastAsia="en-US"/>
    </w:rPr>
  </w:style>
  <w:style w:type="paragraph" w:styleId="NormalWeb">
    <w:name w:val="Normal (Web)"/>
    <w:basedOn w:val="Normal"/>
    <w:uiPriority w:val="99"/>
    <w:semiHidden/>
    <w:unhideWhenUsed/>
    <w:locked/>
    <w:rsid w:val="009301AF"/>
    <w:rPr>
      <w:szCs w:val="24"/>
    </w:rPr>
  </w:style>
  <w:style w:type="character" w:styleId="FollowedHyperlink">
    <w:name w:val="FollowedHyperlink"/>
    <w:basedOn w:val="DefaultParagraphFont"/>
    <w:uiPriority w:val="99"/>
    <w:semiHidden/>
    <w:unhideWhenUsed/>
    <w:locked/>
    <w:rsid w:val="008A4A7A"/>
    <w:rPr>
      <w:color w:val="954F72" w:themeColor="followedHyperlink"/>
      <w:u w:val="single"/>
    </w:rPr>
  </w:style>
  <w:style w:type="paragraph" w:styleId="ListParagraph">
    <w:name w:val="List Paragraph"/>
    <w:basedOn w:val="Normal"/>
    <w:uiPriority w:val="34"/>
    <w:qFormat/>
    <w:locked/>
    <w:rsid w:val="00D65764"/>
    <w:pPr>
      <w:ind w:left="720"/>
      <w:contextualSpacing/>
    </w:pPr>
  </w:style>
  <w:style w:type="character" w:styleId="Strong">
    <w:name w:val="Strong"/>
    <w:basedOn w:val="DefaultParagraphFont"/>
    <w:uiPriority w:val="22"/>
    <w:semiHidden/>
    <w:qFormat/>
    <w:locked/>
    <w:rsid w:val="001062E9"/>
    <w:rPr>
      <w:b/>
      <w:bCs/>
    </w:rPr>
  </w:style>
  <w:style w:type="character" w:styleId="Mention">
    <w:name w:val="Mention"/>
    <w:basedOn w:val="DefaultParagraphFont"/>
    <w:uiPriority w:val="99"/>
    <w:unhideWhenUsed/>
    <w:locked/>
    <w:rsid w:val="00D95C9C"/>
    <w:rPr>
      <w:color w:val="2B579A"/>
      <w:shd w:val="clear" w:color="auto" w:fill="E1DFDD"/>
    </w:rPr>
  </w:style>
  <w:style w:type="paragraph" w:styleId="Revision">
    <w:name w:val="Revision"/>
    <w:hidden/>
    <w:uiPriority w:val="99"/>
    <w:semiHidden/>
    <w:rsid w:val="000A2D9D"/>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446">
      <w:bodyDiv w:val="1"/>
      <w:marLeft w:val="0"/>
      <w:marRight w:val="0"/>
      <w:marTop w:val="0"/>
      <w:marBottom w:val="0"/>
      <w:divBdr>
        <w:top w:val="none" w:sz="0" w:space="0" w:color="auto"/>
        <w:left w:val="none" w:sz="0" w:space="0" w:color="auto"/>
        <w:bottom w:val="none" w:sz="0" w:space="0" w:color="auto"/>
        <w:right w:val="none" w:sz="0" w:space="0" w:color="auto"/>
      </w:divBdr>
    </w:div>
    <w:div w:id="346254175">
      <w:bodyDiv w:val="1"/>
      <w:marLeft w:val="0"/>
      <w:marRight w:val="0"/>
      <w:marTop w:val="0"/>
      <w:marBottom w:val="0"/>
      <w:divBdr>
        <w:top w:val="none" w:sz="0" w:space="0" w:color="auto"/>
        <w:left w:val="none" w:sz="0" w:space="0" w:color="auto"/>
        <w:bottom w:val="none" w:sz="0" w:space="0" w:color="auto"/>
        <w:right w:val="none" w:sz="0" w:space="0" w:color="auto"/>
      </w:divBdr>
    </w:div>
    <w:div w:id="400754641">
      <w:bodyDiv w:val="1"/>
      <w:marLeft w:val="0"/>
      <w:marRight w:val="0"/>
      <w:marTop w:val="0"/>
      <w:marBottom w:val="0"/>
      <w:divBdr>
        <w:top w:val="none" w:sz="0" w:space="0" w:color="auto"/>
        <w:left w:val="none" w:sz="0" w:space="0" w:color="auto"/>
        <w:bottom w:val="none" w:sz="0" w:space="0" w:color="auto"/>
        <w:right w:val="none" w:sz="0" w:space="0" w:color="auto"/>
      </w:divBdr>
      <w:divsChild>
        <w:div w:id="64955262">
          <w:marLeft w:val="0"/>
          <w:marRight w:val="0"/>
          <w:marTop w:val="0"/>
          <w:marBottom w:val="0"/>
          <w:divBdr>
            <w:top w:val="none" w:sz="0" w:space="0" w:color="auto"/>
            <w:left w:val="none" w:sz="0" w:space="0" w:color="auto"/>
            <w:bottom w:val="none" w:sz="0" w:space="0" w:color="auto"/>
            <w:right w:val="none" w:sz="0" w:space="0" w:color="auto"/>
          </w:divBdr>
        </w:div>
        <w:div w:id="293953425">
          <w:marLeft w:val="0"/>
          <w:marRight w:val="0"/>
          <w:marTop w:val="0"/>
          <w:marBottom w:val="0"/>
          <w:divBdr>
            <w:top w:val="none" w:sz="0" w:space="0" w:color="auto"/>
            <w:left w:val="none" w:sz="0" w:space="0" w:color="auto"/>
            <w:bottom w:val="none" w:sz="0" w:space="0" w:color="auto"/>
            <w:right w:val="none" w:sz="0" w:space="0" w:color="auto"/>
          </w:divBdr>
        </w:div>
        <w:div w:id="298919041">
          <w:marLeft w:val="0"/>
          <w:marRight w:val="0"/>
          <w:marTop w:val="0"/>
          <w:marBottom w:val="0"/>
          <w:divBdr>
            <w:top w:val="none" w:sz="0" w:space="0" w:color="auto"/>
            <w:left w:val="none" w:sz="0" w:space="0" w:color="auto"/>
            <w:bottom w:val="none" w:sz="0" w:space="0" w:color="auto"/>
            <w:right w:val="none" w:sz="0" w:space="0" w:color="auto"/>
          </w:divBdr>
        </w:div>
        <w:div w:id="689069050">
          <w:marLeft w:val="0"/>
          <w:marRight w:val="0"/>
          <w:marTop w:val="0"/>
          <w:marBottom w:val="0"/>
          <w:divBdr>
            <w:top w:val="none" w:sz="0" w:space="0" w:color="auto"/>
            <w:left w:val="none" w:sz="0" w:space="0" w:color="auto"/>
            <w:bottom w:val="none" w:sz="0" w:space="0" w:color="auto"/>
            <w:right w:val="none" w:sz="0" w:space="0" w:color="auto"/>
          </w:divBdr>
        </w:div>
        <w:div w:id="757674499">
          <w:marLeft w:val="0"/>
          <w:marRight w:val="0"/>
          <w:marTop w:val="0"/>
          <w:marBottom w:val="0"/>
          <w:divBdr>
            <w:top w:val="none" w:sz="0" w:space="0" w:color="auto"/>
            <w:left w:val="none" w:sz="0" w:space="0" w:color="auto"/>
            <w:bottom w:val="none" w:sz="0" w:space="0" w:color="auto"/>
            <w:right w:val="none" w:sz="0" w:space="0" w:color="auto"/>
          </w:divBdr>
        </w:div>
        <w:div w:id="803891520">
          <w:marLeft w:val="0"/>
          <w:marRight w:val="0"/>
          <w:marTop w:val="0"/>
          <w:marBottom w:val="0"/>
          <w:divBdr>
            <w:top w:val="none" w:sz="0" w:space="0" w:color="auto"/>
            <w:left w:val="none" w:sz="0" w:space="0" w:color="auto"/>
            <w:bottom w:val="none" w:sz="0" w:space="0" w:color="auto"/>
            <w:right w:val="none" w:sz="0" w:space="0" w:color="auto"/>
          </w:divBdr>
        </w:div>
        <w:div w:id="905142122">
          <w:marLeft w:val="0"/>
          <w:marRight w:val="0"/>
          <w:marTop w:val="0"/>
          <w:marBottom w:val="0"/>
          <w:divBdr>
            <w:top w:val="none" w:sz="0" w:space="0" w:color="auto"/>
            <w:left w:val="none" w:sz="0" w:space="0" w:color="auto"/>
            <w:bottom w:val="none" w:sz="0" w:space="0" w:color="auto"/>
            <w:right w:val="none" w:sz="0" w:space="0" w:color="auto"/>
          </w:divBdr>
        </w:div>
        <w:div w:id="1011644142">
          <w:marLeft w:val="0"/>
          <w:marRight w:val="0"/>
          <w:marTop w:val="0"/>
          <w:marBottom w:val="0"/>
          <w:divBdr>
            <w:top w:val="none" w:sz="0" w:space="0" w:color="auto"/>
            <w:left w:val="none" w:sz="0" w:space="0" w:color="auto"/>
            <w:bottom w:val="none" w:sz="0" w:space="0" w:color="auto"/>
            <w:right w:val="none" w:sz="0" w:space="0" w:color="auto"/>
          </w:divBdr>
        </w:div>
        <w:div w:id="1118257805">
          <w:marLeft w:val="0"/>
          <w:marRight w:val="0"/>
          <w:marTop w:val="0"/>
          <w:marBottom w:val="0"/>
          <w:divBdr>
            <w:top w:val="none" w:sz="0" w:space="0" w:color="auto"/>
            <w:left w:val="none" w:sz="0" w:space="0" w:color="auto"/>
            <w:bottom w:val="none" w:sz="0" w:space="0" w:color="auto"/>
            <w:right w:val="none" w:sz="0" w:space="0" w:color="auto"/>
          </w:divBdr>
        </w:div>
        <w:div w:id="1261911090">
          <w:marLeft w:val="0"/>
          <w:marRight w:val="0"/>
          <w:marTop w:val="0"/>
          <w:marBottom w:val="0"/>
          <w:divBdr>
            <w:top w:val="none" w:sz="0" w:space="0" w:color="auto"/>
            <w:left w:val="none" w:sz="0" w:space="0" w:color="auto"/>
            <w:bottom w:val="none" w:sz="0" w:space="0" w:color="auto"/>
            <w:right w:val="none" w:sz="0" w:space="0" w:color="auto"/>
          </w:divBdr>
        </w:div>
        <w:div w:id="1361129179">
          <w:marLeft w:val="0"/>
          <w:marRight w:val="0"/>
          <w:marTop w:val="0"/>
          <w:marBottom w:val="0"/>
          <w:divBdr>
            <w:top w:val="none" w:sz="0" w:space="0" w:color="auto"/>
            <w:left w:val="none" w:sz="0" w:space="0" w:color="auto"/>
            <w:bottom w:val="none" w:sz="0" w:space="0" w:color="auto"/>
            <w:right w:val="none" w:sz="0" w:space="0" w:color="auto"/>
          </w:divBdr>
        </w:div>
        <w:div w:id="1481342397">
          <w:marLeft w:val="0"/>
          <w:marRight w:val="0"/>
          <w:marTop w:val="0"/>
          <w:marBottom w:val="0"/>
          <w:divBdr>
            <w:top w:val="none" w:sz="0" w:space="0" w:color="auto"/>
            <w:left w:val="none" w:sz="0" w:space="0" w:color="auto"/>
            <w:bottom w:val="none" w:sz="0" w:space="0" w:color="auto"/>
            <w:right w:val="none" w:sz="0" w:space="0" w:color="auto"/>
          </w:divBdr>
        </w:div>
        <w:div w:id="1499660602">
          <w:marLeft w:val="0"/>
          <w:marRight w:val="0"/>
          <w:marTop w:val="0"/>
          <w:marBottom w:val="0"/>
          <w:divBdr>
            <w:top w:val="none" w:sz="0" w:space="0" w:color="auto"/>
            <w:left w:val="none" w:sz="0" w:space="0" w:color="auto"/>
            <w:bottom w:val="none" w:sz="0" w:space="0" w:color="auto"/>
            <w:right w:val="none" w:sz="0" w:space="0" w:color="auto"/>
          </w:divBdr>
        </w:div>
        <w:div w:id="1594194774">
          <w:marLeft w:val="0"/>
          <w:marRight w:val="0"/>
          <w:marTop w:val="0"/>
          <w:marBottom w:val="0"/>
          <w:divBdr>
            <w:top w:val="none" w:sz="0" w:space="0" w:color="auto"/>
            <w:left w:val="none" w:sz="0" w:space="0" w:color="auto"/>
            <w:bottom w:val="none" w:sz="0" w:space="0" w:color="auto"/>
            <w:right w:val="none" w:sz="0" w:space="0" w:color="auto"/>
          </w:divBdr>
        </w:div>
        <w:div w:id="1764107238">
          <w:marLeft w:val="0"/>
          <w:marRight w:val="0"/>
          <w:marTop w:val="0"/>
          <w:marBottom w:val="0"/>
          <w:divBdr>
            <w:top w:val="none" w:sz="0" w:space="0" w:color="auto"/>
            <w:left w:val="none" w:sz="0" w:space="0" w:color="auto"/>
            <w:bottom w:val="none" w:sz="0" w:space="0" w:color="auto"/>
            <w:right w:val="none" w:sz="0" w:space="0" w:color="auto"/>
          </w:divBdr>
        </w:div>
        <w:div w:id="2023433994">
          <w:marLeft w:val="0"/>
          <w:marRight w:val="0"/>
          <w:marTop w:val="0"/>
          <w:marBottom w:val="0"/>
          <w:divBdr>
            <w:top w:val="none" w:sz="0" w:space="0" w:color="auto"/>
            <w:left w:val="none" w:sz="0" w:space="0" w:color="auto"/>
            <w:bottom w:val="none" w:sz="0" w:space="0" w:color="auto"/>
            <w:right w:val="none" w:sz="0" w:space="0" w:color="auto"/>
          </w:divBdr>
        </w:div>
        <w:div w:id="2036350145">
          <w:marLeft w:val="0"/>
          <w:marRight w:val="0"/>
          <w:marTop w:val="0"/>
          <w:marBottom w:val="0"/>
          <w:divBdr>
            <w:top w:val="none" w:sz="0" w:space="0" w:color="auto"/>
            <w:left w:val="none" w:sz="0" w:space="0" w:color="auto"/>
            <w:bottom w:val="none" w:sz="0" w:space="0" w:color="auto"/>
            <w:right w:val="none" w:sz="0" w:space="0" w:color="auto"/>
          </w:divBdr>
        </w:div>
      </w:divsChild>
    </w:div>
    <w:div w:id="492913863">
      <w:bodyDiv w:val="1"/>
      <w:marLeft w:val="0"/>
      <w:marRight w:val="0"/>
      <w:marTop w:val="0"/>
      <w:marBottom w:val="0"/>
      <w:divBdr>
        <w:top w:val="none" w:sz="0" w:space="0" w:color="auto"/>
        <w:left w:val="none" w:sz="0" w:space="0" w:color="auto"/>
        <w:bottom w:val="none" w:sz="0" w:space="0" w:color="auto"/>
        <w:right w:val="none" w:sz="0" w:space="0" w:color="auto"/>
      </w:divBdr>
      <w:divsChild>
        <w:div w:id="911618532">
          <w:marLeft w:val="0"/>
          <w:marRight w:val="0"/>
          <w:marTop w:val="0"/>
          <w:marBottom w:val="0"/>
          <w:divBdr>
            <w:top w:val="none" w:sz="0" w:space="0" w:color="auto"/>
            <w:left w:val="none" w:sz="0" w:space="0" w:color="auto"/>
            <w:bottom w:val="none" w:sz="0" w:space="0" w:color="auto"/>
            <w:right w:val="none" w:sz="0" w:space="0" w:color="auto"/>
          </w:divBdr>
          <w:divsChild>
            <w:div w:id="140347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8465">
      <w:bodyDiv w:val="1"/>
      <w:marLeft w:val="0"/>
      <w:marRight w:val="0"/>
      <w:marTop w:val="0"/>
      <w:marBottom w:val="0"/>
      <w:divBdr>
        <w:top w:val="none" w:sz="0" w:space="0" w:color="auto"/>
        <w:left w:val="none" w:sz="0" w:space="0" w:color="auto"/>
        <w:bottom w:val="none" w:sz="0" w:space="0" w:color="auto"/>
        <w:right w:val="none" w:sz="0" w:space="0" w:color="auto"/>
      </w:divBdr>
    </w:div>
    <w:div w:id="1119714425">
      <w:bodyDiv w:val="1"/>
      <w:marLeft w:val="0"/>
      <w:marRight w:val="0"/>
      <w:marTop w:val="0"/>
      <w:marBottom w:val="0"/>
      <w:divBdr>
        <w:top w:val="none" w:sz="0" w:space="0" w:color="auto"/>
        <w:left w:val="none" w:sz="0" w:space="0" w:color="auto"/>
        <w:bottom w:val="none" w:sz="0" w:space="0" w:color="auto"/>
        <w:right w:val="none" w:sz="0" w:space="0" w:color="auto"/>
      </w:divBdr>
    </w:div>
    <w:div w:id="1391729606">
      <w:bodyDiv w:val="1"/>
      <w:marLeft w:val="0"/>
      <w:marRight w:val="0"/>
      <w:marTop w:val="0"/>
      <w:marBottom w:val="0"/>
      <w:divBdr>
        <w:top w:val="none" w:sz="0" w:space="0" w:color="auto"/>
        <w:left w:val="none" w:sz="0" w:space="0" w:color="auto"/>
        <w:bottom w:val="none" w:sz="0" w:space="0" w:color="auto"/>
        <w:right w:val="none" w:sz="0" w:space="0" w:color="auto"/>
      </w:divBdr>
    </w:div>
    <w:div w:id="1578242093">
      <w:bodyDiv w:val="1"/>
      <w:marLeft w:val="0"/>
      <w:marRight w:val="0"/>
      <w:marTop w:val="0"/>
      <w:marBottom w:val="0"/>
      <w:divBdr>
        <w:top w:val="none" w:sz="0" w:space="0" w:color="auto"/>
        <w:left w:val="none" w:sz="0" w:space="0" w:color="auto"/>
        <w:bottom w:val="none" w:sz="0" w:space="0" w:color="auto"/>
        <w:right w:val="none" w:sz="0" w:space="0" w:color="auto"/>
      </w:divBdr>
    </w:div>
    <w:div w:id="1610313410">
      <w:bodyDiv w:val="1"/>
      <w:marLeft w:val="0"/>
      <w:marRight w:val="0"/>
      <w:marTop w:val="0"/>
      <w:marBottom w:val="0"/>
      <w:divBdr>
        <w:top w:val="none" w:sz="0" w:space="0" w:color="auto"/>
        <w:left w:val="none" w:sz="0" w:space="0" w:color="auto"/>
        <w:bottom w:val="none" w:sz="0" w:space="0" w:color="auto"/>
        <w:right w:val="none" w:sz="0" w:space="0" w:color="auto"/>
      </w:divBdr>
    </w:div>
    <w:div w:id="1640303711">
      <w:bodyDiv w:val="1"/>
      <w:marLeft w:val="0"/>
      <w:marRight w:val="0"/>
      <w:marTop w:val="0"/>
      <w:marBottom w:val="0"/>
      <w:divBdr>
        <w:top w:val="none" w:sz="0" w:space="0" w:color="auto"/>
        <w:left w:val="none" w:sz="0" w:space="0" w:color="auto"/>
        <w:bottom w:val="none" w:sz="0" w:space="0" w:color="auto"/>
        <w:right w:val="none" w:sz="0" w:space="0" w:color="auto"/>
      </w:divBdr>
    </w:div>
    <w:div w:id="20457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c.org.uk/news/one-million-children-key-worker-households-live-pover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fs.org.uk/publications/1555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ATIONAL\BRIEFINGS\T4%20parliamentary%20brief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38554762D3E42B7AB0DC48CB1C077" ma:contentTypeVersion="7" ma:contentTypeDescription="Create a new document." ma:contentTypeScope="" ma:versionID="08d763c0296c0310665a9947884890ea">
  <xsd:schema xmlns:xsd="http://www.w3.org/2001/XMLSchema" xmlns:xs="http://www.w3.org/2001/XMLSchema" xmlns:p="http://schemas.microsoft.com/office/2006/metadata/properties" xmlns:ns2="10e40038-a062-4676-acca-1af7df68f998" xmlns:ns3="7d5444cf-74ec-4968-bfd8-5924199b27ba" targetNamespace="http://schemas.microsoft.com/office/2006/metadata/properties" ma:root="true" ma:fieldsID="87aec7c8e5e54699a7d9e13bd700cda3" ns2:_="" ns3:_="">
    <xsd:import namespace="10e40038-a062-4676-acca-1af7df68f998"/>
    <xsd:import namespace="7d5444cf-74ec-4968-bfd8-5924199b27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40038-a062-4676-acca-1af7df68f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5444cf-74ec-4968-bfd8-5924199b27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5444cf-74ec-4968-bfd8-5924199b27ba">
      <UserInfo>
        <DisplayName>Sian Elliott</DisplayName>
        <AccountId>133</AccountId>
        <AccountType/>
      </UserInfo>
      <UserInfo>
        <DisplayName>Matt Dykes</DisplayName>
        <AccountId>17</AccountId>
        <AccountType/>
      </UserInfo>
      <UserInfo>
        <DisplayName>Tim Nichols</DisplayName>
        <AccountId>37</AccountId>
        <AccountType/>
      </UserInfo>
      <UserInfo>
        <DisplayName>Kamaljeet Gill</DisplayName>
        <AccountId>16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02BDF-1FA9-4283-A111-41B7B076A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40038-a062-4676-acca-1af7df68f998"/>
    <ds:schemaRef ds:uri="7d5444cf-74ec-4968-bfd8-5924199b2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9E73E-85CB-42D8-A022-7BDCDCF47727}">
  <ds:schemaRefs>
    <ds:schemaRef ds:uri="http://schemas.microsoft.com/sharepoint/v3/contenttype/forms"/>
  </ds:schemaRefs>
</ds:datastoreItem>
</file>

<file path=customXml/itemProps3.xml><?xml version="1.0" encoding="utf-8"?>
<ds:datastoreItem xmlns:ds="http://schemas.openxmlformats.org/officeDocument/2006/customXml" ds:itemID="{DA6A0D4C-B5E1-46EC-84C0-CEB842BEA14D}">
  <ds:schemaRefs>
    <ds:schemaRef ds:uri="http://purl.org/dc/elements/1.1/"/>
    <ds:schemaRef ds:uri="http://schemas.microsoft.com/office/2006/metadata/properties"/>
    <ds:schemaRef ds:uri="10e40038-a062-4676-acca-1af7df68f99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5444cf-74ec-4968-bfd8-5924199b27ba"/>
    <ds:schemaRef ds:uri="http://www.w3.org/XML/1998/namespace"/>
    <ds:schemaRef ds:uri="http://purl.org/dc/dcmitype/"/>
  </ds:schemaRefs>
</ds:datastoreItem>
</file>

<file path=customXml/itemProps4.xml><?xml version="1.0" encoding="utf-8"?>
<ds:datastoreItem xmlns:ds="http://schemas.openxmlformats.org/officeDocument/2006/customXml" ds:itemID="{7AA3B389-1F6C-46B4-9D44-E08F2725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T4 parliamentary briefing</Template>
  <TotalTime>2</TotalTime>
  <Pages>3</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6802</CharactersWithSpaces>
  <SharedDoc>false</SharedDoc>
  <HLinks>
    <vt:vector size="12" baseType="variant">
      <vt:variant>
        <vt:i4>7536673</vt:i4>
      </vt:variant>
      <vt:variant>
        <vt:i4>3</vt:i4>
      </vt:variant>
      <vt:variant>
        <vt:i4>0</vt:i4>
      </vt:variant>
      <vt:variant>
        <vt:i4>5</vt:i4>
      </vt:variant>
      <vt:variant>
        <vt:lpwstr>https://www.tuc.org.uk/news/one-million-children-key-worker-households-live-poverty</vt:lpwstr>
      </vt:variant>
      <vt:variant>
        <vt:lpwstr/>
      </vt:variant>
      <vt:variant>
        <vt:i4>6029342</vt:i4>
      </vt:variant>
      <vt:variant>
        <vt:i4>0</vt:i4>
      </vt:variant>
      <vt:variant>
        <vt:i4>0</vt:i4>
      </vt:variant>
      <vt:variant>
        <vt:i4>5</vt:i4>
      </vt:variant>
      <vt:variant>
        <vt:lpwstr>https://ifs.org.uk/publications/15552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Sharp</dc:creator>
  <cp:keywords/>
  <cp:lastModifiedBy>Tim Nichols</cp:lastModifiedBy>
  <cp:revision>2</cp:revision>
  <cp:lastPrinted>2021-09-16T19:09:00Z</cp:lastPrinted>
  <dcterms:created xsi:type="dcterms:W3CDTF">2021-09-22T17:18:00Z</dcterms:created>
  <dcterms:modified xsi:type="dcterms:W3CDTF">2021-09-22T17:18:00Z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0x010100DA738554762D3E42B7AB0DC48CB1C077</vt:lpwstr>
  </property>
  <property fmtid="{D5CDD505-2E9C-101B-9397-08002B2CF9AE}" pid="3" name="AuthorIds_UIVersion_512">
    <vt:lpwstr>4</vt:lpwstr>
  </property>
  <property fmtid="{D5CDD505-2E9C-101B-9397-08002B2CF9AE}" pid="4" name="Order">
    <vt:r8>20400</vt:r8>
  </property>
  <property fmtid="{D5CDD505-2E9C-101B-9397-08002B2CF9AE}" pid="5" name="ComplianceAssetId">
    <vt:lpwstr/>
  </property>
  <property fmtid="{D5CDD505-2E9C-101B-9397-08002B2CF9AE}" pid="6" name="TUC Subject">
    <vt:lpwstr/>
  </property>
  <property fmtid="{D5CDD505-2E9C-101B-9397-08002B2CF9AE}" pid="7" name="TUC_x0020_Departments_x002C__x0020_Regions_x002C__x0020_Nations_x0020_and_x0020_Unionlearn">
    <vt:lpwstr/>
  </property>
  <property fmtid="{D5CDD505-2E9C-101B-9397-08002B2CF9AE}" pid="8" name="df5397802742439b859f419f7d6b15ef">
    <vt:lpwstr>MINUTES|740c4b6a-06cc-4612-998b-64f413bfb7cb</vt:lpwstr>
  </property>
  <property fmtid="{D5CDD505-2E9C-101B-9397-08002B2CF9AE}" pid="9" name="p2c0903cd45649f9b54366e3e94ba555">
    <vt:lpwstr/>
  </property>
  <property fmtid="{D5CDD505-2E9C-101B-9397-08002B2CF9AE}" pid="10" name="TaxCatchAll">
    <vt:lpwstr>5;#MINUTES|740c4b6a-06cc-4612-998b-64f413bfb7cb;#1;#AGENDA|b4e4ceb1-2dfe-43e9-8a1a-ef098da01dbf;#7;#COMMITTEE PAPERS|86d2c73e-5179-4d52-a318-a2118a74910a</vt:lpwstr>
  </property>
  <property fmtid="{D5CDD505-2E9C-101B-9397-08002B2CF9AE}" pid="11" name="TUCMinutes">
    <vt:lpwstr>5;#MINUTES|740c4b6a-06cc-4612-998b-64f413bfb7cb</vt:lpwstr>
  </property>
  <property fmtid="{D5CDD505-2E9C-101B-9397-08002B2CF9AE}" pid="12" name="b666103963994347b1b1b64da228b0dc">
    <vt:lpwstr>AGENDA|b4e4ceb1-2dfe-43e9-8a1a-ef098da01dbf</vt:lpwstr>
  </property>
  <property fmtid="{D5CDD505-2E9C-101B-9397-08002B2CF9AE}" pid="13" name="_ExtendedDescription">
    <vt:lpwstr/>
  </property>
  <property fmtid="{D5CDD505-2E9C-101B-9397-08002B2CF9AE}" pid="14" name="TUC_x0020_Subject">
    <vt:lpwstr/>
  </property>
  <property fmtid="{D5CDD505-2E9C-101B-9397-08002B2CF9AE}" pid="15" name="j37d4dc819134494a6edafeeb307a80d">
    <vt:lpwstr>COMMITTEE PAPERS|86d2c73e-5179-4d52-a318-a2118a74910a</vt:lpwstr>
  </property>
  <property fmtid="{D5CDD505-2E9C-101B-9397-08002B2CF9AE}" pid="16" name="TUCAgenda">
    <vt:lpwstr>1;#AGENDA|b4e4ceb1-2dfe-43e9-8a1a-ef098da01dbf</vt:lpwstr>
  </property>
  <property fmtid="{D5CDD505-2E9C-101B-9397-08002B2CF9AE}" pid="17" name="TUC Departments, Regions, Nations and Unionlearn">
    <vt:lpwstr/>
  </property>
  <property fmtid="{D5CDD505-2E9C-101B-9397-08002B2CF9AE}" pid="18" name="TUCCommitteedocument">
    <vt:lpwstr>7;#COMMITTEE PAPERS|86d2c73e-5179-4d52-a318-a2118a74910a</vt:lpwstr>
  </property>
  <property fmtid="{D5CDD505-2E9C-101B-9397-08002B2CF9AE}" pid="19" name="cc573a9146f24b21b0f038b521142432">
    <vt:lpwstr/>
  </property>
</Properties>
</file>